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1C477" w14:textId="7198F1CA" w:rsidR="0028720E" w:rsidRDefault="0028720E" w:rsidP="69CAF28B">
      <w:pPr>
        <w:rPr>
          <w:rFonts w:eastAsiaTheme="majorEastAsia" w:cstheme="majorBidi"/>
          <w:b/>
          <w:bCs/>
          <w:color w:val="3F4A75"/>
          <w:kern w:val="28"/>
          <w:sz w:val="48"/>
          <w:szCs w:val="48"/>
        </w:rPr>
      </w:pPr>
      <w:bookmarkStart w:id="0" w:name="_Hlk198214083"/>
      <w:bookmarkStart w:id="1" w:name="_Hlk4568006"/>
      <w:r w:rsidRPr="69CAF28B">
        <w:rPr>
          <w:rFonts w:eastAsiaTheme="majorEastAsia" w:cstheme="majorBidi"/>
          <w:b/>
          <w:bCs/>
          <w:color w:val="3F4A75"/>
          <w:kern w:val="28"/>
          <w:sz w:val="48"/>
          <w:szCs w:val="48"/>
        </w:rPr>
        <w:t xml:space="preserve">Upcoming Changes to Chronic Disease Management Framework – </w:t>
      </w:r>
      <w:r w:rsidR="00BB2B6C">
        <w:rPr>
          <w:rFonts w:eastAsiaTheme="majorEastAsia" w:cstheme="majorBidi"/>
          <w:b/>
          <w:bCs/>
          <w:color w:val="3F4A75"/>
          <w:kern w:val="28"/>
          <w:sz w:val="48"/>
          <w:szCs w:val="48"/>
        </w:rPr>
        <w:t xml:space="preserve">MBS Items for </w:t>
      </w:r>
      <w:r w:rsidRPr="69CAF28B">
        <w:rPr>
          <w:rFonts w:eastAsiaTheme="majorEastAsia" w:cstheme="majorBidi"/>
          <w:b/>
          <w:bCs/>
          <w:color w:val="3F4A75"/>
          <w:kern w:val="28"/>
          <w:sz w:val="48"/>
          <w:szCs w:val="48"/>
        </w:rPr>
        <w:t>GP Chronic Condition Management Plans</w:t>
      </w:r>
    </w:p>
    <w:bookmarkEnd w:id="0"/>
    <w:p w14:paraId="6EFD4B5B" w14:textId="62A90CF9" w:rsidR="00064168" w:rsidRDefault="00064168" w:rsidP="006F5073">
      <w:r w:rsidRPr="00867595">
        <w:t xml:space="preserve">Last updated: </w:t>
      </w:r>
      <w:r w:rsidR="00E107F7">
        <w:t>2</w:t>
      </w:r>
      <w:r w:rsidR="00534A0B">
        <w:t>2</w:t>
      </w:r>
      <w:r w:rsidRPr="00867595">
        <w:t xml:space="preserve"> </w:t>
      </w:r>
      <w:r w:rsidR="0028720E">
        <w:t>May</w:t>
      </w:r>
      <w:r w:rsidRPr="00867595">
        <w:t xml:space="preserve"> </w:t>
      </w:r>
      <w:r w:rsidR="0028720E">
        <w:t>2025</w:t>
      </w:r>
    </w:p>
    <w:bookmarkEnd w:id="1"/>
    <w:p w14:paraId="2E31D95C" w14:textId="28A04178" w:rsidR="00F073D8" w:rsidRDefault="009F165E" w:rsidP="0028720E">
      <w:pPr>
        <w:pStyle w:val="ListParagraph"/>
        <w:numPr>
          <w:ilvl w:val="0"/>
          <w:numId w:val="28"/>
        </w:numPr>
        <w:spacing w:before="0" w:after="60" w:line="280" w:lineRule="exact"/>
      </w:pPr>
      <w:r>
        <w:t>F</w:t>
      </w:r>
      <w:r w:rsidR="0028720E">
        <w:t xml:space="preserve">rom 1 July 2025, GP </w:t>
      </w:r>
      <w:r w:rsidR="00763DAD">
        <w:t>m</w:t>
      </w:r>
      <w:r w:rsidR="0028720E">
        <w:t xml:space="preserve">anagement </w:t>
      </w:r>
      <w:r w:rsidR="00763DAD">
        <w:t>p</w:t>
      </w:r>
      <w:r w:rsidR="0028720E">
        <w:t xml:space="preserve">lans (GPMPs) and </w:t>
      </w:r>
      <w:r w:rsidR="00763DAD">
        <w:t>t</w:t>
      </w:r>
      <w:r w:rsidR="0028720E">
        <w:t xml:space="preserve">eam </w:t>
      </w:r>
      <w:r w:rsidR="00763DAD">
        <w:t>c</w:t>
      </w:r>
      <w:r w:rsidR="0028720E">
        <w:t xml:space="preserve">are </w:t>
      </w:r>
      <w:r w:rsidR="00763DAD">
        <w:t>a</w:t>
      </w:r>
      <w:r w:rsidR="0028720E">
        <w:t xml:space="preserve">rrangements (TCAs) will be replaced with a single GP </w:t>
      </w:r>
      <w:r w:rsidR="00C837A7">
        <w:t>c</w:t>
      </w:r>
      <w:r w:rsidR="0028720E">
        <w:t xml:space="preserve">hronic </w:t>
      </w:r>
      <w:r w:rsidR="00C837A7">
        <w:t>c</w:t>
      </w:r>
      <w:r w:rsidR="0028720E">
        <w:t xml:space="preserve">ondition </w:t>
      </w:r>
      <w:r w:rsidR="00C837A7">
        <w:t>m</w:t>
      </w:r>
      <w:r w:rsidR="0028720E">
        <w:t xml:space="preserve">anagement </w:t>
      </w:r>
      <w:r w:rsidR="00C837A7">
        <w:t>p</w:t>
      </w:r>
      <w:r w:rsidR="0028720E">
        <w:t>lan (GPCCMP).</w:t>
      </w:r>
    </w:p>
    <w:p w14:paraId="22CD8410" w14:textId="77777777" w:rsidR="008741DA" w:rsidRDefault="000C7B0B" w:rsidP="00B91F01">
      <w:pPr>
        <w:pStyle w:val="ListBullet"/>
      </w:pPr>
      <w:r>
        <w:t xml:space="preserve">The existing </w:t>
      </w:r>
      <w:r w:rsidR="00906A1C">
        <w:t xml:space="preserve">MBS </w:t>
      </w:r>
      <w:r>
        <w:t xml:space="preserve">items </w:t>
      </w:r>
      <w:r w:rsidR="00F073D8">
        <w:t xml:space="preserve">for </w:t>
      </w:r>
      <w:r w:rsidR="009F69F3">
        <w:t>developing and reviewing GPMPs and TCAs</w:t>
      </w:r>
      <w:r w:rsidR="00F073D8">
        <w:t xml:space="preserve"> will cease and new </w:t>
      </w:r>
      <w:r w:rsidR="00906A1C">
        <w:t xml:space="preserve">MBS </w:t>
      </w:r>
      <w:r w:rsidR="00F073D8">
        <w:t>items</w:t>
      </w:r>
      <w:r w:rsidR="003A4DA9">
        <w:t xml:space="preserve"> for </w:t>
      </w:r>
      <w:r w:rsidR="00F073D8">
        <w:t>the GPCCMP will be introduced.</w:t>
      </w:r>
    </w:p>
    <w:p w14:paraId="43B124B9" w14:textId="00E1925E" w:rsidR="0028720E" w:rsidRDefault="00EE2DC6" w:rsidP="007719DA">
      <w:pPr>
        <w:pStyle w:val="ListBullet"/>
      </w:pPr>
      <w:r>
        <w:t xml:space="preserve">This factsheet details the requirements of the new </w:t>
      </w:r>
      <w:r w:rsidR="00906A1C">
        <w:t xml:space="preserve">MBS </w:t>
      </w:r>
      <w:r>
        <w:t>items.</w:t>
      </w:r>
      <w:r w:rsidR="008741DA">
        <w:t xml:space="preserve"> </w:t>
      </w:r>
      <w:r>
        <w:t xml:space="preserve">For an overview of the changes, </w:t>
      </w:r>
      <w:r w:rsidR="00BB2B6C">
        <w:t>changes to referral requirements</w:t>
      </w:r>
      <w:r w:rsidR="00906A1C">
        <w:t xml:space="preserve"> for allied health services</w:t>
      </w:r>
      <w:r w:rsidR="00BB2B6C">
        <w:t xml:space="preserve">, impact on </w:t>
      </w:r>
      <w:r w:rsidR="007E58A5">
        <w:t>other health care providers</w:t>
      </w:r>
      <w:r w:rsidR="00BB2B6C">
        <w:t xml:space="preserve"> and transition arrangements for patients</w:t>
      </w:r>
      <w:r w:rsidR="0049246A">
        <w:t xml:space="preserve"> with an existing GPMP and/or TCA</w:t>
      </w:r>
      <w:r w:rsidR="00BB2B6C">
        <w:t xml:space="preserve"> </w:t>
      </w:r>
      <w:r w:rsidR="009F165E">
        <w:t xml:space="preserve">please </w:t>
      </w:r>
      <w:r w:rsidR="00BB2B6C">
        <w:t>see the separate factsheets.</w:t>
      </w:r>
    </w:p>
    <w:p w14:paraId="3B148A49" w14:textId="7E5A146F" w:rsidR="00BB2B6C" w:rsidRDefault="003A4DA9" w:rsidP="0028720E">
      <w:pPr>
        <w:pStyle w:val="ListParagraph"/>
        <w:numPr>
          <w:ilvl w:val="0"/>
          <w:numId w:val="28"/>
        </w:numPr>
        <w:spacing w:before="0" w:after="60" w:line="280" w:lineRule="exact"/>
      </w:pPr>
      <w:r>
        <w:t xml:space="preserve">GPCCMPs can be </w:t>
      </w:r>
      <w:r w:rsidR="008741DA">
        <w:t>prepared</w:t>
      </w:r>
      <w:r>
        <w:t xml:space="preserve"> </w:t>
      </w:r>
      <w:r w:rsidR="00EE5244">
        <w:t xml:space="preserve">and reviewed </w:t>
      </w:r>
      <w:r>
        <w:t>by general practitioners (GPs) and prescribed medical practitioners (PMPs)</w:t>
      </w:r>
      <w:r w:rsidR="00E459A6">
        <w:t xml:space="preserve"> either</w:t>
      </w:r>
      <w:r>
        <w:t xml:space="preserve"> </w:t>
      </w:r>
      <w:r w:rsidR="00680798">
        <w:t>face to face,</w:t>
      </w:r>
      <w:r>
        <w:t xml:space="preserve"> or via video. A </w:t>
      </w:r>
      <w:r w:rsidR="00C67701">
        <w:t>practice nurse</w:t>
      </w:r>
      <w:r w:rsidR="0090349A">
        <w:t>,</w:t>
      </w:r>
      <w:r w:rsidR="00C67701">
        <w:t xml:space="preserve"> Aboriginal and Torres Strait Islander </w:t>
      </w:r>
      <w:r w:rsidR="009F165E">
        <w:t>H</w:t>
      </w:r>
      <w:r w:rsidR="00C67701">
        <w:t xml:space="preserve">ealth </w:t>
      </w:r>
      <w:r w:rsidR="009F165E">
        <w:t>P</w:t>
      </w:r>
      <w:r w:rsidR="00C67701">
        <w:t xml:space="preserve">ractitioner </w:t>
      </w:r>
      <w:r w:rsidR="0090349A">
        <w:t>or Aboriginal Health Worker may</w:t>
      </w:r>
      <w:r w:rsidR="00C67701">
        <w:t xml:space="preserve"> assist with the development or review of a plan.</w:t>
      </w:r>
    </w:p>
    <w:p w14:paraId="55313AB6" w14:textId="7CE10260" w:rsidR="006C6017" w:rsidRDefault="006C6017" w:rsidP="0028720E">
      <w:pPr>
        <w:pStyle w:val="ListParagraph"/>
        <w:numPr>
          <w:ilvl w:val="0"/>
          <w:numId w:val="28"/>
        </w:numPr>
        <w:spacing w:before="0" w:after="60" w:line="280" w:lineRule="exact"/>
      </w:pPr>
      <w:r>
        <w:t xml:space="preserve">Patients </w:t>
      </w:r>
      <w:r w:rsidR="00433951">
        <w:t>registered</w:t>
      </w:r>
      <w:r>
        <w:t xml:space="preserve"> with MyMedicare must access GPCCMP items through the</w:t>
      </w:r>
      <w:r w:rsidR="00433951">
        <w:t xml:space="preserve"> </w:t>
      </w:r>
      <w:r>
        <w:t>practice where they are enrolled</w:t>
      </w:r>
      <w:r w:rsidR="00433951">
        <w:t>; patients that are not registered may access the services through their usual GP</w:t>
      </w:r>
      <w:r w:rsidR="00AA5F6F">
        <w:t>.</w:t>
      </w:r>
    </w:p>
    <w:p w14:paraId="2990D5E8" w14:textId="5373D551" w:rsidR="00C67701" w:rsidRDefault="00C67701" w:rsidP="0028720E">
      <w:pPr>
        <w:pStyle w:val="ListParagraph"/>
        <w:numPr>
          <w:ilvl w:val="0"/>
          <w:numId w:val="28"/>
        </w:numPr>
        <w:spacing w:before="0" w:after="60" w:line="280" w:lineRule="exact"/>
      </w:pPr>
      <w:r>
        <w:t>The requirements for a GPCCMP have been streamlined</w:t>
      </w:r>
      <w:r w:rsidR="00E459A6">
        <w:t xml:space="preserve"> compared to GPMPs and TCAs</w:t>
      </w:r>
      <w:r>
        <w:t>. Co</w:t>
      </w:r>
      <w:r w:rsidR="00B76C9A">
        <w:t>nsultation with at least two collaborating providers</w:t>
      </w:r>
      <w:r>
        <w:t xml:space="preserve"> is no longer required. GPs a</w:t>
      </w:r>
      <w:r w:rsidR="00E459A6">
        <w:t>n</w:t>
      </w:r>
      <w:r>
        <w:t xml:space="preserve">d PMPs can refer patients with a </w:t>
      </w:r>
      <w:r w:rsidR="00993DD5">
        <w:t>GPCCMP directly to relevant services</w:t>
      </w:r>
      <w:r w:rsidR="00BD2D07">
        <w:t>.</w:t>
      </w:r>
      <w:r w:rsidR="00B91F01">
        <w:t xml:space="preserve"> </w:t>
      </w:r>
      <w:r w:rsidR="00B91F01">
        <w:rPr>
          <w:szCs w:val="22"/>
        </w:rPr>
        <w:t>There is no requirement for allied health providers to confirm acceptance of the referral or otherwise provide input into the preparation of the GPCCMP. However, the requirements for allied health providers to provide a written report back to the GP after the provision of certain services (e.g. the first service under a referral) are unchanged.</w:t>
      </w:r>
    </w:p>
    <w:p w14:paraId="2F3EE6D8" w14:textId="5426A2FF" w:rsidR="0024387C" w:rsidRDefault="0024387C" w:rsidP="0028720E">
      <w:pPr>
        <w:pStyle w:val="ListParagraph"/>
        <w:numPr>
          <w:ilvl w:val="0"/>
          <w:numId w:val="28"/>
        </w:numPr>
        <w:spacing w:before="0" w:after="60" w:line="280" w:lineRule="exact"/>
      </w:pPr>
      <w:r>
        <w:t>Consistent with current arrangements</w:t>
      </w:r>
      <w:r w:rsidR="009F165E">
        <w:t>,</w:t>
      </w:r>
      <w:r>
        <w:t xml:space="preserve"> items for the preparation or review of a GPCCMP cannot be co-claimed on the same day as general attendance items</w:t>
      </w:r>
      <w:r w:rsidR="00BD2D07">
        <w:t>.</w:t>
      </w:r>
    </w:p>
    <w:p w14:paraId="15AFDB64" w14:textId="2B2A0D2A" w:rsidR="007423F2" w:rsidRDefault="006827BC" w:rsidP="0028720E">
      <w:pPr>
        <w:pStyle w:val="ListParagraph"/>
        <w:numPr>
          <w:ilvl w:val="0"/>
          <w:numId w:val="28"/>
        </w:numPr>
        <w:spacing w:before="0" w:after="60" w:line="280" w:lineRule="exact"/>
      </w:pPr>
      <w:r>
        <w:t>Items for preparing a GPCCMP can be claimed every 12 months</w:t>
      </w:r>
      <w:r w:rsidR="00FC1C8A">
        <w:t xml:space="preserve"> if clinically relevant</w:t>
      </w:r>
      <w:r>
        <w:t>; GPCCMP reviews are available every 3 months i</w:t>
      </w:r>
      <w:r w:rsidR="00FC1C8A">
        <w:t>f</w:t>
      </w:r>
      <w:r>
        <w:t xml:space="preserve"> clinically relevant. Plans may be prepared or reviewed earlier if exceptional circumstances apply.</w:t>
      </w:r>
    </w:p>
    <w:p w14:paraId="738C53B4" w14:textId="6EF46147" w:rsidR="00B7473C" w:rsidRDefault="00F76305" w:rsidP="0028720E">
      <w:pPr>
        <w:pStyle w:val="ListParagraph"/>
        <w:numPr>
          <w:ilvl w:val="0"/>
          <w:numId w:val="28"/>
        </w:numPr>
        <w:spacing w:before="0" w:after="60" w:line="280" w:lineRule="exact"/>
      </w:pPr>
      <w:r>
        <w:t>While GPCCMPs do not expire, p</w:t>
      </w:r>
      <w:r w:rsidR="00B7473C">
        <w:t>atients must have had a GPCCMP prepared or reviewed in the previous 18 months to continue to access allied health and other services under the plan.</w:t>
      </w:r>
    </w:p>
    <w:p w14:paraId="2322F28F" w14:textId="745DF838" w:rsidR="006827BC" w:rsidRDefault="006827BC" w:rsidP="0028720E">
      <w:pPr>
        <w:pStyle w:val="ListParagraph"/>
        <w:numPr>
          <w:ilvl w:val="0"/>
          <w:numId w:val="28"/>
        </w:numPr>
        <w:spacing w:before="0" w:after="60" w:line="280" w:lineRule="exact"/>
      </w:pPr>
      <w:r>
        <w:t xml:space="preserve">GPCCMP items </w:t>
      </w:r>
      <w:r w:rsidR="00AC1435">
        <w:t xml:space="preserve">may be claimed with single bulk billing incentives when eligible patients are bulk </w:t>
      </w:r>
      <w:r w:rsidR="0019037F">
        <w:t>billed and</w:t>
      </w:r>
      <w:r w:rsidR="0090349A">
        <w:t xml:space="preserve"> will be included in the Bulk Billing Practice Incentive Program from 1 November 2025.</w:t>
      </w:r>
    </w:p>
    <w:p w14:paraId="44460BF5" w14:textId="29A2ED51" w:rsidR="00064168" w:rsidRPr="00867595" w:rsidRDefault="00064168" w:rsidP="00064168">
      <w:pPr>
        <w:pStyle w:val="Heading2"/>
      </w:pPr>
      <w:r w:rsidRPr="00867595">
        <w:lastRenderedPageBreak/>
        <w:t>What are the changes?</w:t>
      </w:r>
    </w:p>
    <w:p w14:paraId="7B2325F3" w14:textId="71AB09F0" w:rsidR="0028720E" w:rsidRPr="0028720E" w:rsidRDefault="008077C4" w:rsidP="0028720E">
      <w:pPr>
        <w:numPr>
          <w:ilvl w:val="0"/>
          <w:numId w:val="28"/>
        </w:numPr>
        <w:rPr>
          <w:szCs w:val="22"/>
        </w:rPr>
      </w:pPr>
      <w:r>
        <w:rPr>
          <w:szCs w:val="22"/>
        </w:rPr>
        <w:t>From 1 July</w:t>
      </w:r>
      <w:r w:rsidR="00D63E0F">
        <w:rPr>
          <w:szCs w:val="22"/>
        </w:rPr>
        <w:t xml:space="preserve"> 2025 the following MBS items will cease:</w:t>
      </w:r>
    </w:p>
    <w:p w14:paraId="44198D8F" w14:textId="4BE98D1D" w:rsidR="00D63E0F" w:rsidRPr="009E2E59" w:rsidRDefault="0028720E" w:rsidP="009E2E59">
      <w:pPr>
        <w:numPr>
          <w:ilvl w:val="0"/>
          <w:numId w:val="35"/>
        </w:numPr>
        <w:ind w:left="709" w:hanging="283"/>
        <w:contextualSpacing/>
      </w:pPr>
      <w:r w:rsidRPr="009E2E59">
        <w:t xml:space="preserve">GP </w:t>
      </w:r>
      <w:r w:rsidR="00407F26" w:rsidRPr="009E2E59">
        <w:t>m</w:t>
      </w:r>
      <w:r w:rsidRPr="009E2E59">
        <w:t xml:space="preserve">anagement </w:t>
      </w:r>
      <w:r w:rsidR="00407F26" w:rsidRPr="009E2E59">
        <w:t>p</w:t>
      </w:r>
      <w:r w:rsidRPr="009E2E59">
        <w:t xml:space="preserve">lans </w:t>
      </w:r>
      <w:r w:rsidR="00D63E0F" w:rsidRPr="009E2E59">
        <w:t xml:space="preserve">– </w:t>
      </w:r>
      <w:r w:rsidRPr="009E2E59">
        <w:t>229, 721, 92024, 92055</w:t>
      </w:r>
    </w:p>
    <w:p w14:paraId="6C15101B" w14:textId="7AC41A52" w:rsidR="00D63E0F" w:rsidRPr="009E2E59" w:rsidRDefault="00FA7B17" w:rsidP="009E2E59">
      <w:pPr>
        <w:numPr>
          <w:ilvl w:val="0"/>
          <w:numId w:val="35"/>
        </w:numPr>
        <w:ind w:left="709" w:hanging="283"/>
        <w:contextualSpacing/>
      </w:pPr>
      <w:r w:rsidRPr="009E2E59">
        <w:t>T</w:t>
      </w:r>
      <w:r w:rsidR="0028720E" w:rsidRPr="009E2E59">
        <w:t xml:space="preserve">eam </w:t>
      </w:r>
      <w:r w:rsidR="00407F26" w:rsidRPr="009E2E59">
        <w:t>c</w:t>
      </w:r>
      <w:r w:rsidR="0028720E" w:rsidRPr="009E2E59">
        <w:t xml:space="preserve">are </w:t>
      </w:r>
      <w:r w:rsidR="00407F26" w:rsidRPr="009E2E59">
        <w:t>a</w:t>
      </w:r>
      <w:r w:rsidR="0028720E" w:rsidRPr="009E2E59">
        <w:t xml:space="preserve">rrangements </w:t>
      </w:r>
      <w:r w:rsidR="00D63E0F" w:rsidRPr="009E2E59">
        <w:t xml:space="preserve">– </w:t>
      </w:r>
      <w:r w:rsidR="0028720E" w:rsidRPr="009E2E59">
        <w:t>230, 723, 92025, 92056</w:t>
      </w:r>
    </w:p>
    <w:p w14:paraId="6EED2F11" w14:textId="19F2F855" w:rsidR="00D63E0F" w:rsidRPr="009E2E59" w:rsidRDefault="00D63E0F" w:rsidP="009E2E59">
      <w:pPr>
        <w:numPr>
          <w:ilvl w:val="0"/>
          <w:numId w:val="35"/>
        </w:numPr>
        <w:ind w:left="709" w:hanging="283"/>
        <w:contextualSpacing/>
      </w:pPr>
      <w:r w:rsidRPr="009E2E59">
        <w:t>R</w:t>
      </w:r>
      <w:r w:rsidR="0028720E" w:rsidRPr="009E2E59">
        <w:t xml:space="preserve">eviews </w:t>
      </w:r>
      <w:r w:rsidRPr="009E2E59">
        <w:t xml:space="preserve">– </w:t>
      </w:r>
      <w:bookmarkStart w:id="2" w:name="_Hlk176795458"/>
      <w:r w:rsidR="0028720E" w:rsidRPr="009E2E59">
        <w:t>233, 732, 92028, 92059</w:t>
      </w:r>
      <w:bookmarkEnd w:id="2"/>
      <w:r w:rsidR="009F165E" w:rsidRPr="009E2E59">
        <w:t>.</w:t>
      </w:r>
    </w:p>
    <w:p w14:paraId="532F1A1E" w14:textId="104D7FE7" w:rsidR="0028720E" w:rsidRDefault="00AA4C3C" w:rsidP="00AA4C3C">
      <w:pPr>
        <w:pStyle w:val="ListBullet"/>
      </w:pPr>
      <w:r>
        <w:t>The</w:t>
      </w:r>
      <w:r w:rsidR="009F165E">
        <w:t xml:space="preserve"> ceased items</w:t>
      </w:r>
      <w:r>
        <w:t xml:space="preserve"> will</w:t>
      </w:r>
      <w:r w:rsidR="0028720E" w:rsidRPr="0028720E">
        <w:t xml:space="preserve"> b</w:t>
      </w:r>
      <w:r>
        <w:t>e</w:t>
      </w:r>
      <w:r w:rsidR="0028720E" w:rsidRPr="0028720E">
        <w:t xml:space="preserve"> replaced with </w:t>
      </w:r>
      <w:r>
        <w:t>new items for</w:t>
      </w:r>
      <w:r w:rsidR="008A21D0">
        <w:t xml:space="preserve"> </w:t>
      </w:r>
      <w:r w:rsidR="00680798">
        <w:t xml:space="preserve">GPs and PMPs to </w:t>
      </w:r>
      <w:r w:rsidR="008A21D0">
        <w:t>prepar</w:t>
      </w:r>
      <w:r w:rsidR="00680798">
        <w:t>e</w:t>
      </w:r>
      <w:r w:rsidR="008A21D0">
        <w:t xml:space="preserve"> and review GP</w:t>
      </w:r>
      <w:r w:rsidR="00407F26">
        <w:t>CCMPs</w:t>
      </w:r>
      <w:r w:rsidR="008A21D0">
        <w:t xml:space="preserve"> (see </w:t>
      </w:r>
      <w:r w:rsidR="00162AC6">
        <w:t>Table 1)</w:t>
      </w:r>
      <w:r w:rsidR="009F165E">
        <w:t>.</w:t>
      </w:r>
    </w:p>
    <w:p w14:paraId="7CC9E665" w14:textId="1897E594" w:rsidR="00F4298E" w:rsidRDefault="00F4298E" w:rsidP="00AA4C3C">
      <w:pPr>
        <w:pStyle w:val="ListBullet"/>
      </w:pPr>
      <w:r w:rsidRPr="0028720E">
        <w:t xml:space="preserve">Practice nurses, Aboriginal and Torres Strait Islander </w:t>
      </w:r>
      <w:r w:rsidR="009F165E">
        <w:t>H</w:t>
      </w:r>
      <w:r w:rsidRPr="0028720E">
        <w:t xml:space="preserve">ealth </w:t>
      </w:r>
      <w:r w:rsidR="009F165E">
        <w:t>P</w:t>
      </w:r>
      <w:r w:rsidRPr="0028720E">
        <w:t xml:space="preserve">ractitioners and Aboriginal </w:t>
      </w:r>
      <w:r w:rsidR="009F165E">
        <w:t>H</w:t>
      </w:r>
      <w:r w:rsidRPr="0028720E">
        <w:t xml:space="preserve">ealth </w:t>
      </w:r>
      <w:r w:rsidR="009F165E">
        <w:t>W</w:t>
      </w:r>
      <w:r w:rsidRPr="0028720E">
        <w:t>orkers will be able to assist the GP or prescribed medical practitioner to prepare or review a GP</w:t>
      </w:r>
      <w:r>
        <w:t>CCMP</w:t>
      </w:r>
      <w:r w:rsidR="009F165E">
        <w:t>.</w:t>
      </w:r>
    </w:p>
    <w:p w14:paraId="47284807" w14:textId="61D655A4" w:rsidR="005F1177" w:rsidRDefault="005F1177" w:rsidP="00AA4C3C">
      <w:pPr>
        <w:pStyle w:val="ListBullet"/>
      </w:pPr>
      <w:r>
        <w:t>Patients can access</w:t>
      </w:r>
      <w:r w:rsidR="00376F31">
        <w:t xml:space="preserve"> the following MBS-supported services where they are consistent with the</w:t>
      </w:r>
      <w:r w:rsidR="006C073A">
        <w:t>ir</w:t>
      </w:r>
      <w:r w:rsidR="00376F31">
        <w:t xml:space="preserve"> GPCCMP</w:t>
      </w:r>
      <w:r>
        <w:t>:</w:t>
      </w:r>
    </w:p>
    <w:p w14:paraId="502993F1" w14:textId="7F88A928" w:rsidR="005F1177" w:rsidRDefault="008C1340" w:rsidP="009E2E59">
      <w:pPr>
        <w:numPr>
          <w:ilvl w:val="0"/>
          <w:numId w:val="35"/>
        </w:numPr>
        <w:ind w:left="709" w:hanging="283"/>
        <w:contextualSpacing/>
      </w:pPr>
      <w:r>
        <w:t>Up to 5 individual allied health services per calendar year (10 services for patients of Aboriginal or Torres Strait Islander descent)</w:t>
      </w:r>
      <w:r w:rsidR="0B3F6391">
        <w:t>.</w:t>
      </w:r>
    </w:p>
    <w:p w14:paraId="08548BA6" w14:textId="3559303B" w:rsidR="008C1340" w:rsidRDefault="008C1340" w:rsidP="009E2E59">
      <w:pPr>
        <w:numPr>
          <w:ilvl w:val="0"/>
          <w:numId w:val="35"/>
        </w:numPr>
        <w:ind w:left="709" w:hanging="283"/>
        <w:contextualSpacing/>
      </w:pPr>
      <w:r>
        <w:t xml:space="preserve">Up to 5 </w:t>
      </w:r>
      <w:r w:rsidR="00376F31">
        <w:t xml:space="preserve">services provided on behalf of </w:t>
      </w:r>
      <w:r w:rsidR="00E6454B">
        <w:t>a</w:t>
      </w:r>
      <w:r w:rsidR="00376F31">
        <w:t xml:space="preserve"> medical practitioner by a practice nurse o</w:t>
      </w:r>
      <w:r w:rsidR="00E6454B">
        <w:t>r</w:t>
      </w:r>
      <w:r w:rsidR="00376F31">
        <w:t xml:space="preserve"> Aboriginal and Torres Strait Islander </w:t>
      </w:r>
      <w:r w:rsidR="009F165E">
        <w:t>H</w:t>
      </w:r>
      <w:r w:rsidR="00376F31">
        <w:t xml:space="preserve">ealth </w:t>
      </w:r>
      <w:r w:rsidR="009F165E">
        <w:t>P</w:t>
      </w:r>
      <w:r w:rsidR="003033E5">
        <w:t>ractitioner</w:t>
      </w:r>
      <w:r w:rsidR="434AF503">
        <w:t>.</w:t>
      </w:r>
    </w:p>
    <w:p w14:paraId="7592F054" w14:textId="7AC09BA6" w:rsidR="003033E5" w:rsidRDefault="003033E5" w:rsidP="009E2E59">
      <w:pPr>
        <w:numPr>
          <w:ilvl w:val="0"/>
          <w:numId w:val="35"/>
        </w:numPr>
        <w:ind w:left="709" w:hanging="283"/>
        <w:contextualSpacing/>
      </w:pPr>
      <w:r>
        <w:t xml:space="preserve">For patients with type 2 diabetes, an assessment of their suitability for group dietetics, diabetes education </w:t>
      </w:r>
      <w:r w:rsidR="00FD377F">
        <w:t>or</w:t>
      </w:r>
      <w:r>
        <w:t xml:space="preserve"> exercise physiology services and, if they are suitable, </w:t>
      </w:r>
      <w:r w:rsidR="00682057">
        <w:t>up to 8 group services for the management of diabetes per calendar year</w:t>
      </w:r>
      <w:r w:rsidR="55427DE9">
        <w:t>.</w:t>
      </w:r>
    </w:p>
    <w:p w14:paraId="0AF55612" w14:textId="3979375A" w:rsidR="00BC4C6A" w:rsidRPr="00BC4C6A" w:rsidRDefault="00BC4C6A" w:rsidP="00BC4C6A">
      <w:pPr>
        <w:rPr>
          <w:sz w:val="20"/>
          <w:szCs w:val="20"/>
        </w:rPr>
      </w:pPr>
      <w:r w:rsidRPr="00BC4C6A">
        <w:rPr>
          <w:b/>
          <w:iCs/>
          <w:sz w:val="20"/>
          <w:szCs w:val="20"/>
        </w:rPr>
        <w:t xml:space="preserve">Table 1: </w:t>
      </w:r>
      <w:r w:rsidR="00162AC6">
        <w:rPr>
          <w:b/>
          <w:iCs/>
          <w:sz w:val="20"/>
          <w:szCs w:val="20"/>
        </w:rPr>
        <w:t xml:space="preserve">GP </w:t>
      </w:r>
      <w:r w:rsidRPr="00BC4C6A">
        <w:rPr>
          <w:b/>
          <w:iCs/>
          <w:sz w:val="20"/>
          <w:szCs w:val="20"/>
        </w:rPr>
        <w:t>Chronic Condition Management Items commencing 1 July 2025</w:t>
      </w:r>
      <w:r w:rsidR="0096636B">
        <w:rPr>
          <w:b/>
          <w:iCs/>
          <w:sz w:val="20"/>
          <w:szCs w:val="20"/>
        </w:rPr>
        <w:t>*</w:t>
      </w:r>
    </w:p>
    <w:tbl>
      <w:tblPr>
        <w:tblStyle w:val="GridTable4-Accent2"/>
        <w:tblpPr w:leftFromText="180" w:rightFromText="180" w:vertAnchor="text" w:horzAnchor="margin" w:tblpY="128"/>
        <w:tblW w:w="9214" w:type="dxa"/>
        <w:tblLook w:val="04A0" w:firstRow="1" w:lastRow="0" w:firstColumn="1" w:lastColumn="0" w:noHBand="0" w:noVBand="1"/>
        <w:tblCaption w:val="COVID-19 Standard GP Telehealth Services"/>
        <w:tblDescription w:val="Provides the MBS item numbers for the standard GP video-conference and telephone services "/>
      </w:tblPr>
      <w:tblGrid>
        <w:gridCol w:w="3970"/>
        <w:gridCol w:w="2172"/>
        <w:gridCol w:w="3072"/>
      </w:tblGrid>
      <w:tr w:rsidR="0028720E" w:rsidRPr="00A60BEF" w14:paraId="00C5003B" w14:textId="77777777" w:rsidTr="00C5062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70" w:type="dxa"/>
          </w:tcPr>
          <w:p w14:paraId="5109D91F" w14:textId="77777777" w:rsidR="0028720E" w:rsidRPr="00A60BEF" w:rsidRDefault="0028720E" w:rsidP="00C50625">
            <w:pPr>
              <w:rPr>
                <w:b w:val="0"/>
                <w:bCs w:val="0"/>
                <w:sz w:val="20"/>
                <w:szCs w:val="20"/>
              </w:rPr>
            </w:pPr>
            <w:r w:rsidRPr="00A60BEF">
              <w:rPr>
                <w:sz w:val="20"/>
                <w:szCs w:val="20"/>
              </w:rPr>
              <w:t>Name of Item</w:t>
            </w:r>
          </w:p>
        </w:tc>
        <w:tc>
          <w:tcPr>
            <w:tcW w:w="2172" w:type="dxa"/>
          </w:tcPr>
          <w:p w14:paraId="01DB6D81" w14:textId="77777777" w:rsidR="0028720E" w:rsidRPr="00A60BEF" w:rsidRDefault="0028720E" w:rsidP="00C50625">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A60BEF">
              <w:rPr>
                <w:sz w:val="20"/>
                <w:szCs w:val="20"/>
              </w:rPr>
              <w:t>GP item number</w:t>
            </w:r>
          </w:p>
        </w:tc>
        <w:tc>
          <w:tcPr>
            <w:tcW w:w="3072" w:type="dxa"/>
          </w:tcPr>
          <w:p w14:paraId="5A04AF46" w14:textId="77777777" w:rsidR="0028720E" w:rsidRPr="00A60BEF" w:rsidRDefault="0028720E" w:rsidP="00C50625">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A60BEF">
              <w:rPr>
                <w:sz w:val="20"/>
                <w:szCs w:val="20"/>
              </w:rPr>
              <w:t>Prescribed medical practitioner item number</w:t>
            </w:r>
          </w:p>
        </w:tc>
      </w:tr>
      <w:tr w:rsidR="0028720E" w:rsidRPr="00A60BEF" w14:paraId="6ACD3D8B" w14:textId="77777777" w:rsidTr="00C506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70" w:type="dxa"/>
          </w:tcPr>
          <w:p w14:paraId="20A67BDA" w14:textId="74BEF0B5" w:rsidR="0028720E" w:rsidRPr="00A60BEF" w:rsidRDefault="00EE5244" w:rsidP="00C50625">
            <w:pPr>
              <w:rPr>
                <w:bCs w:val="0"/>
                <w:iCs/>
                <w:sz w:val="20"/>
                <w:szCs w:val="20"/>
              </w:rPr>
            </w:pPr>
            <w:r>
              <w:rPr>
                <w:bCs w:val="0"/>
                <w:iCs/>
                <w:sz w:val="20"/>
                <w:szCs w:val="20"/>
              </w:rPr>
              <w:t>Prepare</w:t>
            </w:r>
            <w:r w:rsidR="0028720E" w:rsidRPr="00A60BEF">
              <w:rPr>
                <w:bCs w:val="0"/>
                <w:iCs/>
                <w:sz w:val="20"/>
                <w:szCs w:val="20"/>
              </w:rPr>
              <w:t xml:space="preserve"> a GP chronic condition management plan – face to face</w:t>
            </w:r>
          </w:p>
        </w:tc>
        <w:tc>
          <w:tcPr>
            <w:tcW w:w="2172" w:type="dxa"/>
          </w:tcPr>
          <w:p w14:paraId="2DEA1850" w14:textId="77777777" w:rsidR="0028720E" w:rsidRPr="00A60BEF" w:rsidRDefault="0028720E" w:rsidP="00C50625">
            <w:pPr>
              <w:cnfStyle w:val="000000100000" w:firstRow="0" w:lastRow="0" w:firstColumn="0" w:lastColumn="0" w:oddVBand="0" w:evenVBand="0" w:oddHBand="1" w:evenHBand="0" w:firstRowFirstColumn="0" w:firstRowLastColumn="0" w:lastRowFirstColumn="0" w:lastRowLastColumn="0"/>
              <w:rPr>
                <w:bCs/>
                <w:iCs/>
                <w:sz w:val="20"/>
                <w:szCs w:val="20"/>
              </w:rPr>
            </w:pPr>
            <w:r w:rsidRPr="00A60BEF">
              <w:rPr>
                <w:bCs/>
                <w:iCs/>
                <w:sz w:val="20"/>
                <w:szCs w:val="20"/>
              </w:rPr>
              <w:t>965</w:t>
            </w:r>
          </w:p>
        </w:tc>
        <w:tc>
          <w:tcPr>
            <w:tcW w:w="3072" w:type="dxa"/>
          </w:tcPr>
          <w:p w14:paraId="08B38A4C" w14:textId="77777777" w:rsidR="0028720E" w:rsidRPr="00A60BEF" w:rsidRDefault="0028720E" w:rsidP="00C50625">
            <w:pPr>
              <w:cnfStyle w:val="000000100000" w:firstRow="0" w:lastRow="0" w:firstColumn="0" w:lastColumn="0" w:oddVBand="0" w:evenVBand="0" w:oddHBand="1" w:evenHBand="0" w:firstRowFirstColumn="0" w:firstRowLastColumn="0" w:lastRowFirstColumn="0" w:lastRowLastColumn="0"/>
              <w:rPr>
                <w:bCs/>
                <w:iCs/>
                <w:sz w:val="20"/>
                <w:szCs w:val="20"/>
              </w:rPr>
            </w:pPr>
            <w:r w:rsidRPr="00A60BEF">
              <w:rPr>
                <w:bCs/>
                <w:iCs/>
                <w:sz w:val="20"/>
                <w:szCs w:val="20"/>
              </w:rPr>
              <w:t>392</w:t>
            </w:r>
          </w:p>
        </w:tc>
      </w:tr>
      <w:tr w:rsidR="0028720E" w:rsidRPr="00A60BEF" w14:paraId="631D070F" w14:textId="77777777" w:rsidTr="00C50625">
        <w:trPr>
          <w:trHeight w:val="397"/>
        </w:trPr>
        <w:tc>
          <w:tcPr>
            <w:cnfStyle w:val="001000000000" w:firstRow="0" w:lastRow="0" w:firstColumn="1" w:lastColumn="0" w:oddVBand="0" w:evenVBand="0" w:oddHBand="0" w:evenHBand="0" w:firstRowFirstColumn="0" w:firstRowLastColumn="0" w:lastRowFirstColumn="0" w:lastRowLastColumn="0"/>
            <w:tcW w:w="3970" w:type="dxa"/>
          </w:tcPr>
          <w:p w14:paraId="5EBEDAF8" w14:textId="1EF7C473" w:rsidR="0028720E" w:rsidRPr="00A60BEF" w:rsidRDefault="00E107F7" w:rsidP="00C50625">
            <w:pPr>
              <w:rPr>
                <w:bCs w:val="0"/>
                <w:iCs/>
                <w:sz w:val="20"/>
                <w:szCs w:val="20"/>
              </w:rPr>
            </w:pPr>
            <w:r>
              <w:rPr>
                <w:bCs w:val="0"/>
                <w:iCs/>
                <w:sz w:val="20"/>
                <w:szCs w:val="20"/>
              </w:rPr>
              <w:t>Prepare</w:t>
            </w:r>
            <w:r w:rsidR="0028720E" w:rsidRPr="00A60BEF">
              <w:rPr>
                <w:bCs w:val="0"/>
                <w:iCs/>
                <w:sz w:val="20"/>
                <w:szCs w:val="20"/>
              </w:rPr>
              <w:t xml:space="preserve"> a GP chronic condition management plan - </w:t>
            </w:r>
            <w:r w:rsidR="00C67701">
              <w:rPr>
                <w:bCs w:val="0"/>
                <w:iCs/>
                <w:sz w:val="20"/>
                <w:szCs w:val="20"/>
              </w:rPr>
              <w:t>video</w:t>
            </w:r>
          </w:p>
        </w:tc>
        <w:tc>
          <w:tcPr>
            <w:tcW w:w="2172" w:type="dxa"/>
          </w:tcPr>
          <w:p w14:paraId="5AE339AE" w14:textId="77777777" w:rsidR="0028720E" w:rsidRPr="00A60BEF" w:rsidRDefault="0028720E" w:rsidP="00C50625">
            <w:pPr>
              <w:cnfStyle w:val="000000000000" w:firstRow="0" w:lastRow="0" w:firstColumn="0" w:lastColumn="0" w:oddVBand="0" w:evenVBand="0" w:oddHBand="0" w:evenHBand="0" w:firstRowFirstColumn="0" w:firstRowLastColumn="0" w:lastRowFirstColumn="0" w:lastRowLastColumn="0"/>
              <w:rPr>
                <w:bCs/>
                <w:iCs/>
                <w:sz w:val="20"/>
                <w:szCs w:val="20"/>
              </w:rPr>
            </w:pPr>
            <w:r w:rsidRPr="00A60BEF">
              <w:rPr>
                <w:bCs/>
                <w:iCs/>
                <w:sz w:val="20"/>
                <w:szCs w:val="20"/>
              </w:rPr>
              <w:t>92029</w:t>
            </w:r>
          </w:p>
        </w:tc>
        <w:tc>
          <w:tcPr>
            <w:tcW w:w="3072" w:type="dxa"/>
          </w:tcPr>
          <w:p w14:paraId="5A289D07" w14:textId="77777777" w:rsidR="0028720E" w:rsidRPr="00A60BEF" w:rsidRDefault="0028720E" w:rsidP="00C50625">
            <w:pPr>
              <w:cnfStyle w:val="000000000000" w:firstRow="0" w:lastRow="0" w:firstColumn="0" w:lastColumn="0" w:oddVBand="0" w:evenVBand="0" w:oddHBand="0" w:evenHBand="0" w:firstRowFirstColumn="0" w:firstRowLastColumn="0" w:lastRowFirstColumn="0" w:lastRowLastColumn="0"/>
              <w:rPr>
                <w:bCs/>
                <w:iCs/>
                <w:sz w:val="20"/>
                <w:szCs w:val="20"/>
              </w:rPr>
            </w:pPr>
            <w:r w:rsidRPr="00A60BEF">
              <w:rPr>
                <w:bCs/>
                <w:iCs/>
                <w:sz w:val="20"/>
                <w:szCs w:val="20"/>
              </w:rPr>
              <w:t>92060</w:t>
            </w:r>
          </w:p>
        </w:tc>
      </w:tr>
      <w:tr w:rsidR="0028720E" w:rsidRPr="00A60BEF" w14:paraId="2B10E42E" w14:textId="77777777" w:rsidTr="00C506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70" w:type="dxa"/>
          </w:tcPr>
          <w:p w14:paraId="6BA4AB67" w14:textId="77777777" w:rsidR="0028720E" w:rsidRPr="00A60BEF" w:rsidRDefault="0028720E" w:rsidP="00C50625">
            <w:pPr>
              <w:rPr>
                <w:bCs w:val="0"/>
                <w:iCs/>
                <w:sz w:val="20"/>
                <w:szCs w:val="20"/>
              </w:rPr>
            </w:pPr>
            <w:r w:rsidRPr="00A60BEF">
              <w:rPr>
                <w:bCs w:val="0"/>
                <w:iCs/>
                <w:sz w:val="20"/>
                <w:szCs w:val="20"/>
              </w:rPr>
              <w:t>Review a GP chronic condition management plan – face to face</w:t>
            </w:r>
          </w:p>
        </w:tc>
        <w:tc>
          <w:tcPr>
            <w:tcW w:w="2172" w:type="dxa"/>
          </w:tcPr>
          <w:p w14:paraId="27509045" w14:textId="77777777" w:rsidR="0028720E" w:rsidRPr="00A60BEF" w:rsidRDefault="0028720E" w:rsidP="00C50625">
            <w:pPr>
              <w:cnfStyle w:val="000000100000" w:firstRow="0" w:lastRow="0" w:firstColumn="0" w:lastColumn="0" w:oddVBand="0" w:evenVBand="0" w:oddHBand="1" w:evenHBand="0" w:firstRowFirstColumn="0" w:firstRowLastColumn="0" w:lastRowFirstColumn="0" w:lastRowLastColumn="0"/>
              <w:rPr>
                <w:bCs/>
                <w:iCs/>
                <w:sz w:val="20"/>
                <w:szCs w:val="20"/>
              </w:rPr>
            </w:pPr>
            <w:r w:rsidRPr="00A60BEF">
              <w:rPr>
                <w:bCs/>
                <w:iCs/>
                <w:sz w:val="20"/>
                <w:szCs w:val="20"/>
              </w:rPr>
              <w:t>967</w:t>
            </w:r>
          </w:p>
        </w:tc>
        <w:tc>
          <w:tcPr>
            <w:tcW w:w="3072" w:type="dxa"/>
          </w:tcPr>
          <w:p w14:paraId="58BB78AA" w14:textId="77777777" w:rsidR="0028720E" w:rsidRPr="00A60BEF" w:rsidRDefault="0028720E" w:rsidP="00C50625">
            <w:pPr>
              <w:cnfStyle w:val="000000100000" w:firstRow="0" w:lastRow="0" w:firstColumn="0" w:lastColumn="0" w:oddVBand="0" w:evenVBand="0" w:oddHBand="1" w:evenHBand="0" w:firstRowFirstColumn="0" w:firstRowLastColumn="0" w:lastRowFirstColumn="0" w:lastRowLastColumn="0"/>
              <w:rPr>
                <w:bCs/>
                <w:iCs/>
                <w:sz w:val="20"/>
                <w:szCs w:val="20"/>
              </w:rPr>
            </w:pPr>
            <w:r w:rsidRPr="00A60BEF">
              <w:rPr>
                <w:bCs/>
                <w:iCs/>
                <w:sz w:val="20"/>
                <w:szCs w:val="20"/>
              </w:rPr>
              <w:t>393</w:t>
            </w:r>
          </w:p>
        </w:tc>
      </w:tr>
      <w:tr w:rsidR="0028720E" w:rsidRPr="00A60BEF" w14:paraId="1F5BEC14" w14:textId="77777777" w:rsidTr="00C50625">
        <w:trPr>
          <w:trHeight w:val="397"/>
        </w:trPr>
        <w:tc>
          <w:tcPr>
            <w:cnfStyle w:val="001000000000" w:firstRow="0" w:lastRow="0" w:firstColumn="1" w:lastColumn="0" w:oddVBand="0" w:evenVBand="0" w:oddHBand="0" w:evenHBand="0" w:firstRowFirstColumn="0" w:firstRowLastColumn="0" w:lastRowFirstColumn="0" w:lastRowLastColumn="0"/>
            <w:tcW w:w="3970" w:type="dxa"/>
          </w:tcPr>
          <w:p w14:paraId="420E8B0F" w14:textId="22382F78" w:rsidR="0028720E" w:rsidRPr="00A60BEF" w:rsidRDefault="0028720E" w:rsidP="00C50625">
            <w:pPr>
              <w:rPr>
                <w:bCs w:val="0"/>
                <w:iCs/>
                <w:sz w:val="20"/>
                <w:szCs w:val="20"/>
              </w:rPr>
            </w:pPr>
            <w:r w:rsidRPr="00A60BEF">
              <w:rPr>
                <w:bCs w:val="0"/>
                <w:iCs/>
                <w:sz w:val="20"/>
                <w:szCs w:val="20"/>
              </w:rPr>
              <w:t xml:space="preserve">Review a GP chronic condition management plan – </w:t>
            </w:r>
            <w:r w:rsidR="00C67701">
              <w:rPr>
                <w:bCs w:val="0"/>
                <w:iCs/>
                <w:sz w:val="20"/>
                <w:szCs w:val="20"/>
              </w:rPr>
              <w:t>video</w:t>
            </w:r>
          </w:p>
        </w:tc>
        <w:tc>
          <w:tcPr>
            <w:tcW w:w="2172" w:type="dxa"/>
          </w:tcPr>
          <w:p w14:paraId="42F989D4" w14:textId="77777777" w:rsidR="0028720E" w:rsidRPr="00A60BEF" w:rsidRDefault="0028720E" w:rsidP="00C50625">
            <w:pPr>
              <w:cnfStyle w:val="000000000000" w:firstRow="0" w:lastRow="0" w:firstColumn="0" w:lastColumn="0" w:oddVBand="0" w:evenVBand="0" w:oddHBand="0" w:evenHBand="0" w:firstRowFirstColumn="0" w:firstRowLastColumn="0" w:lastRowFirstColumn="0" w:lastRowLastColumn="0"/>
              <w:rPr>
                <w:bCs/>
                <w:iCs/>
                <w:sz w:val="20"/>
                <w:szCs w:val="20"/>
              </w:rPr>
            </w:pPr>
            <w:r w:rsidRPr="00A60BEF">
              <w:rPr>
                <w:bCs/>
                <w:iCs/>
                <w:sz w:val="20"/>
                <w:szCs w:val="20"/>
              </w:rPr>
              <w:t>92030</w:t>
            </w:r>
          </w:p>
        </w:tc>
        <w:tc>
          <w:tcPr>
            <w:tcW w:w="3072" w:type="dxa"/>
          </w:tcPr>
          <w:p w14:paraId="7A295983" w14:textId="77777777" w:rsidR="0028720E" w:rsidRPr="00A60BEF" w:rsidRDefault="0028720E" w:rsidP="00C50625">
            <w:pPr>
              <w:cnfStyle w:val="000000000000" w:firstRow="0" w:lastRow="0" w:firstColumn="0" w:lastColumn="0" w:oddVBand="0" w:evenVBand="0" w:oddHBand="0" w:evenHBand="0" w:firstRowFirstColumn="0" w:firstRowLastColumn="0" w:lastRowFirstColumn="0" w:lastRowLastColumn="0"/>
              <w:rPr>
                <w:bCs/>
                <w:iCs/>
                <w:sz w:val="20"/>
                <w:szCs w:val="20"/>
              </w:rPr>
            </w:pPr>
            <w:r w:rsidRPr="00A60BEF">
              <w:rPr>
                <w:bCs/>
                <w:iCs/>
                <w:sz w:val="20"/>
                <w:szCs w:val="20"/>
              </w:rPr>
              <w:t>92061</w:t>
            </w:r>
          </w:p>
        </w:tc>
      </w:tr>
    </w:tbl>
    <w:p w14:paraId="3A9AD4AA" w14:textId="74F22D22" w:rsidR="0096636B" w:rsidRPr="0096636B" w:rsidRDefault="0096636B" w:rsidP="0096636B">
      <w:pPr>
        <w:spacing w:before="0" w:after="60" w:line="280" w:lineRule="exact"/>
        <w:rPr>
          <w:bCs/>
          <w:i/>
          <w:szCs w:val="22"/>
        </w:rPr>
      </w:pPr>
    </w:p>
    <w:p w14:paraId="2DB7EC10" w14:textId="77777777" w:rsidR="0066336D" w:rsidRDefault="0066336D">
      <w:pPr>
        <w:spacing w:before="0" w:after="0" w:line="240" w:lineRule="auto"/>
        <w:rPr>
          <w:b/>
          <w:caps/>
          <w:color w:val="358189"/>
          <w:szCs w:val="22"/>
        </w:rPr>
      </w:pPr>
      <w:r>
        <w:rPr>
          <w:b/>
          <w:caps/>
          <w:color w:val="358189"/>
          <w:szCs w:val="22"/>
        </w:rPr>
        <w:br w:type="page"/>
      </w:r>
    </w:p>
    <w:p w14:paraId="3D813137" w14:textId="0CFF0037" w:rsidR="0058652A" w:rsidRPr="0028720E" w:rsidRDefault="0058652A" w:rsidP="0058652A">
      <w:pPr>
        <w:keepNext/>
        <w:keepLines/>
        <w:spacing w:before="240" w:after="60" w:line="280" w:lineRule="exact"/>
        <w:rPr>
          <w:b/>
          <w:caps/>
          <w:color w:val="358189"/>
          <w:szCs w:val="22"/>
        </w:rPr>
      </w:pPr>
      <w:r w:rsidRPr="0028720E">
        <w:rPr>
          <w:b/>
          <w:caps/>
          <w:color w:val="358189"/>
          <w:szCs w:val="22"/>
        </w:rPr>
        <w:lastRenderedPageBreak/>
        <w:t>Eligible patients</w:t>
      </w:r>
    </w:p>
    <w:p w14:paraId="436388D6" w14:textId="22B50373" w:rsidR="003875BC" w:rsidRDefault="0058652A" w:rsidP="0058652A">
      <w:pPr>
        <w:keepNext/>
        <w:keepLines/>
        <w:numPr>
          <w:ilvl w:val="0"/>
          <w:numId w:val="28"/>
        </w:numPr>
        <w:spacing w:before="0" w:after="60" w:line="280" w:lineRule="exact"/>
      </w:pPr>
      <w:r>
        <w:t xml:space="preserve">GPCCMPs </w:t>
      </w:r>
      <w:r w:rsidR="00A603CD">
        <w:t xml:space="preserve">are </w:t>
      </w:r>
      <w:r w:rsidR="00BC2705">
        <w:t xml:space="preserve">for patients with one or more chronic </w:t>
      </w:r>
      <w:r w:rsidR="003875BC">
        <w:t xml:space="preserve">medical </w:t>
      </w:r>
      <w:r w:rsidR="00BC2705">
        <w:t>conditions who would benefit from a structured approach to their care</w:t>
      </w:r>
      <w:r w:rsidR="07CBEDD0">
        <w:t>.</w:t>
      </w:r>
    </w:p>
    <w:p w14:paraId="2049E6EB" w14:textId="55C90EE3" w:rsidR="0058652A" w:rsidRPr="0028720E" w:rsidRDefault="07CBEDD0" w:rsidP="009E2E59">
      <w:pPr>
        <w:numPr>
          <w:ilvl w:val="0"/>
          <w:numId w:val="35"/>
        </w:numPr>
        <w:ind w:left="709" w:hanging="283"/>
        <w:contextualSpacing/>
      </w:pPr>
      <w:r>
        <w:t>A</w:t>
      </w:r>
      <w:r w:rsidR="003875BC">
        <w:t xml:space="preserve"> chronic medical</w:t>
      </w:r>
      <w:r w:rsidR="0058652A">
        <w:t xml:space="preserve"> condition that has been (or is likely to be) present for at least 6 months or is terminal</w:t>
      </w:r>
      <w:r w:rsidR="00B91F01">
        <w:t>.</w:t>
      </w:r>
    </w:p>
    <w:p w14:paraId="4E2C9A57" w14:textId="4829F463" w:rsidR="0058652A" w:rsidRDefault="0058652A" w:rsidP="0058652A">
      <w:pPr>
        <w:numPr>
          <w:ilvl w:val="0"/>
          <w:numId w:val="28"/>
        </w:numPr>
        <w:spacing w:before="0" w:after="60" w:line="280" w:lineRule="exact"/>
      </w:pPr>
      <w:r w:rsidRPr="0028720E">
        <w:t xml:space="preserve">There is no list of eligible conditions. It is up to the GP or </w:t>
      </w:r>
      <w:r w:rsidR="00CC6DA2">
        <w:t>PMP</w:t>
      </w:r>
      <w:r w:rsidRPr="0028720E">
        <w:t>’s clinical judgment to determine whether an individual patient with a chronic condition would benefit from a GP</w:t>
      </w:r>
      <w:r w:rsidR="00054782">
        <w:t>CCMP</w:t>
      </w:r>
      <w:r w:rsidR="005F05B9">
        <w:t>.</w:t>
      </w:r>
    </w:p>
    <w:p w14:paraId="6B464D7C" w14:textId="00838A6C" w:rsidR="007E5BA9" w:rsidRPr="0028720E" w:rsidRDefault="007E5BA9" w:rsidP="0058652A">
      <w:pPr>
        <w:numPr>
          <w:ilvl w:val="0"/>
          <w:numId w:val="28"/>
        </w:numPr>
        <w:spacing w:before="0" w:after="60" w:line="280" w:lineRule="exact"/>
      </w:pPr>
      <w:r>
        <w:t>Patients registered with MyMedicare must access GPCCMP items through the practice where they are enrolled. Patients who are not registered must access GPCCMP items through their usual GP. These requirements are the same for face to face and telehealth items</w:t>
      </w:r>
      <w:r w:rsidR="00B91F01">
        <w:t>.</w:t>
      </w:r>
    </w:p>
    <w:p w14:paraId="2029D4B3" w14:textId="589E76B0" w:rsidR="0058652A" w:rsidRPr="0028720E" w:rsidRDefault="00B47BED" w:rsidP="0058652A">
      <w:pPr>
        <w:numPr>
          <w:ilvl w:val="0"/>
          <w:numId w:val="28"/>
        </w:numPr>
        <w:spacing w:before="0" w:after="60" w:line="280" w:lineRule="exact"/>
      </w:pPr>
      <w:r>
        <w:t xml:space="preserve">GPCCMPs are not available </w:t>
      </w:r>
      <w:r w:rsidR="00131E1F">
        <w:t xml:space="preserve">to patients who are care recipients in a </w:t>
      </w:r>
      <w:r w:rsidR="00466EF7">
        <w:t>r</w:t>
      </w:r>
      <w:r w:rsidR="00131E1F">
        <w:t xml:space="preserve">esidential </w:t>
      </w:r>
      <w:r w:rsidR="00466EF7">
        <w:t>a</w:t>
      </w:r>
      <w:r w:rsidR="00131E1F">
        <w:t xml:space="preserve">ged </w:t>
      </w:r>
      <w:r w:rsidR="00466EF7">
        <w:t>c</w:t>
      </w:r>
      <w:r w:rsidR="00131E1F">
        <w:t xml:space="preserve">are </w:t>
      </w:r>
      <w:r w:rsidR="00466EF7">
        <w:t>f</w:t>
      </w:r>
      <w:r w:rsidR="00131E1F">
        <w:t>acility.</w:t>
      </w:r>
      <w:r w:rsidR="0070291F">
        <w:t xml:space="preserve"> </w:t>
      </w:r>
      <w:r w:rsidR="00321680">
        <w:t>A</w:t>
      </w:r>
      <w:r w:rsidR="0070291F">
        <w:t xml:space="preserve">llied health services are available to these patients through a </w:t>
      </w:r>
      <w:r w:rsidR="00466EF7">
        <w:t>m</w:t>
      </w:r>
      <w:r w:rsidR="0070291F">
        <w:t xml:space="preserve">ultidisciplinary </w:t>
      </w:r>
      <w:r w:rsidR="00466EF7">
        <w:t>c</w:t>
      </w:r>
      <w:r w:rsidR="0070291F">
        <w:t xml:space="preserve">are </w:t>
      </w:r>
      <w:r w:rsidR="00466EF7">
        <w:t>p</w:t>
      </w:r>
      <w:r w:rsidR="0070291F">
        <w:t>lan (see standa</w:t>
      </w:r>
      <w:r w:rsidR="000F70FC">
        <w:t>lone factsheet)</w:t>
      </w:r>
      <w:r w:rsidR="005F05B9">
        <w:t>.</w:t>
      </w:r>
    </w:p>
    <w:p w14:paraId="49A80892" w14:textId="77777777" w:rsidR="0058652A" w:rsidRDefault="0058652A" w:rsidP="0028720E">
      <w:pPr>
        <w:keepNext/>
        <w:keepLines/>
        <w:spacing w:before="0" w:after="60" w:line="280" w:lineRule="exact"/>
        <w:rPr>
          <w:b/>
          <w:caps/>
          <w:color w:val="358189"/>
          <w:szCs w:val="22"/>
        </w:rPr>
      </w:pPr>
    </w:p>
    <w:p w14:paraId="582C7A0C" w14:textId="342FD3EE" w:rsidR="0028720E" w:rsidRPr="0028720E" w:rsidRDefault="0028720E" w:rsidP="0028720E">
      <w:pPr>
        <w:keepNext/>
        <w:keepLines/>
        <w:spacing w:before="0" w:after="60" w:line="280" w:lineRule="exact"/>
        <w:rPr>
          <w:b/>
          <w:caps/>
          <w:color w:val="358189"/>
          <w:szCs w:val="22"/>
        </w:rPr>
      </w:pPr>
      <w:r w:rsidRPr="0028720E">
        <w:rPr>
          <w:b/>
          <w:caps/>
          <w:color w:val="358189"/>
          <w:szCs w:val="22"/>
        </w:rPr>
        <w:t xml:space="preserve">Preparing a </w:t>
      </w:r>
      <w:r w:rsidR="00D0027F">
        <w:rPr>
          <w:b/>
          <w:caps/>
          <w:color w:val="358189"/>
          <w:szCs w:val="22"/>
        </w:rPr>
        <w:t>gpccmp</w:t>
      </w:r>
    </w:p>
    <w:p w14:paraId="3D530E9A" w14:textId="530C6FA5" w:rsidR="0028720E" w:rsidRDefault="00EC41AA" w:rsidP="0028720E">
      <w:pPr>
        <w:keepNext/>
        <w:keepLines/>
        <w:numPr>
          <w:ilvl w:val="0"/>
          <w:numId w:val="28"/>
        </w:numPr>
        <w:spacing w:before="0" w:after="60" w:line="280" w:lineRule="exact"/>
      </w:pPr>
      <w:r>
        <w:t xml:space="preserve">The MBS fee </w:t>
      </w:r>
      <w:r w:rsidR="00CB2D3D">
        <w:t xml:space="preserve">to prepare a GPCCMP is </w:t>
      </w:r>
      <w:r w:rsidR="00F1333B" w:rsidRPr="538358AF">
        <w:rPr>
          <w:b/>
          <w:bCs/>
        </w:rPr>
        <w:t>$15</w:t>
      </w:r>
      <w:r w:rsidR="0082102F">
        <w:rPr>
          <w:b/>
          <w:bCs/>
        </w:rPr>
        <w:t>6</w:t>
      </w:r>
      <w:r w:rsidR="00F1333B" w:rsidRPr="538358AF">
        <w:rPr>
          <w:b/>
          <w:bCs/>
        </w:rPr>
        <w:t>.</w:t>
      </w:r>
      <w:r w:rsidR="0082102F">
        <w:rPr>
          <w:b/>
          <w:bCs/>
        </w:rPr>
        <w:t>5</w:t>
      </w:r>
      <w:r w:rsidR="00F1333B" w:rsidRPr="538358AF">
        <w:rPr>
          <w:b/>
          <w:bCs/>
        </w:rPr>
        <w:t>5</w:t>
      </w:r>
      <w:r w:rsidR="00F1333B">
        <w:t xml:space="preserve"> for GPs and </w:t>
      </w:r>
      <w:r w:rsidR="00805E34" w:rsidRPr="538358AF">
        <w:rPr>
          <w:b/>
          <w:bCs/>
        </w:rPr>
        <w:t>$125.30</w:t>
      </w:r>
      <w:r w:rsidR="00805E34">
        <w:t xml:space="preserve"> for </w:t>
      </w:r>
      <w:r w:rsidR="00CC6DA2">
        <w:t>PMPs</w:t>
      </w:r>
      <w:r w:rsidR="34797052">
        <w:t>.</w:t>
      </w:r>
    </w:p>
    <w:p w14:paraId="38A558EC" w14:textId="71E68CB8" w:rsidR="00B91A82" w:rsidRDefault="0039785A" w:rsidP="00AC015F">
      <w:pPr>
        <w:numPr>
          <w:ilvl w:val="0"/>
          <w:numId w:val="28"/>
        </w:numPr>
        <w:spacing w:before="0" w:after="60" w:line="280" w:lineRule="exact"/>
      </w:pPr>
      <w:r w:rsidRPr="0028720E">
        <w:t>Unless exceptional circumstances apply, a GP</w:t>
      </w:r>
      <w:r>
        <w:t>CCMP</w:t>
      </w:r>
      <w:r w:rsidRPr="0028720E">
        <w:t xml:space="preserve"> can be prepared once every 12 months </w:t>
      </w:r>
      <w:r>
        <w:t xml:space="preserve">if it is clinically relevant to do so. </w:t>
      </w:r>
      <w:r w:rsidRPr="0028720E">
        <w:t>It is not required that a new plan be prepared each year, existing plans can continue to be reviewe</w:t>
      </w:r>
      <w:r>
        <w:t>d</w:t>
      </w:r>
      <w:r w:rsidR="005F05B9">
        <w:t>.</w:t>
      </w:r>
    </w:p>
    <w:p w14:paraId="1B16B691" w14:textId="3162244E" w:rsidR="0039785A" w:rsidRDefault="00B91A82" w:rsidP="0039785A">
      <w:pPr>
        <w:numPr>
          <w:ilvl w:val="0"/>
          <w:numId w:val="28"/>
        </w:numPr>
        <w:spacing w:before="0" w:after="60" w:line="280" w:lineRule="exact"/>
      </w:pPr>
      <w:r>
        <w:t>A GPCCMP is intended to set out the patient’s treatment and management goals, action</w:t>
      </w:r>
      <w:r w:rsidR="00241F32">
        <w:t>s to be taken</w:t>
      </w:r>
      <w:r w:rsidR="004069D5">
        <w:t xml:space="preserve"> and, where multidisciplinary care is required</w:t>
      </w:r>
      <w:r w:rsidR="005F05B9">
        <w:t xml:space="preserve"> and</w:t>
      </w:r>
      <w:r w:rsidR="0044795E">
        <w:t xml:space="preserve"> the services to which the patient will be referred</w:t>
      </w:r>
      <w:r w:rsidR="005F05B9">
        <w:t>.</w:t>
      </w:r>
    </w:p>
    <w:p w14:paraId="1ADEB338" w14:textId="296FFF46" w:rsidR="00531E87" w:rsidRDefault="00531E87" w:rsidP="00B91F01">
      <w:pPr>
        <w:pStyle w:val="ListBullet"/>
      </w:pPr>
      <w:r>
        <w:t>The plan is intended to be a patient-</w:t>
      </w:r>
      <w:r w:rsidR="007458E6">
        <w:t>centred</w:t>
      </w:r>
      <w:r>
        <w:t xml:space="preserve"> plan. While there are a range of MBS-supported services available for patients wit</w:t>
      </w:r>
      <w:r w:rsidR="005C40D3">
        <w:t xml:space="preserve">h a GPCCMP, </w:t>
      </w:r>
      <w:r w:rsidR="00F07D04">
        <w:t xml:space="preserve">services that are </w:t>
      </w:r>
      <w:r w:rsidR="00AC015F">
        <w:t>supported</w:t>
      </w:r>
      <w:r w:rsidR="00F07D04">
        <w:t xml:space="preserve"> through other funding mechanisms can also be i</w:t>
      </w:r>
      <w:r w:rsidR="005F71B0">
        <w:t>dentified</w:t>
      </w:r>
      <w:r w:rsidR="00F07D04">
        <w:t xml:space="preserve"> in the plan</w:t>
      </w:r>
      <w:r w:rsidR="005F05B9">
        <w:t>.</w:t>
      </w:r>
    </w:p>
    <w:p w14:paraId="7AD89B32" w14:textId="14D1AAEB" w:rsidR="008F123F" w:rsidRDefault="00C805CA" w:rsidP="007719DA">
      <w:pPr>
        <w:pStyle w:val="ListBullet"/>
      </w:pPr>
      <w:r>
        <w:t xml:space="preserve">Subject to the patient’s consent, </w:t>
      </w:r>
      <w:r w:rsidR="008F123F">
        <w:t xml:space="preserve">GPs and </w:t>
      </w:r>
      <w:r w:rsidR="00406662">
        <w:t xml:space="preserve">PMPs </w:t>
      </w:r>
      <w:r w:rsidR="008F123F">
        <w:t>are encouraged to upload</w:t>
      </w:r>
      <w:r>
        <w:t xml:space="preserve"> the GP</w:t>
      </w:r>
      <w:r w:rsidR="00406662">
        <w:t>CC</w:t>
      </w:r>
      <w:r>
        <w:t>MP to My Health Record</w:t>
      </w:r>
      <w:r w:rsidR="005F05B9">
        <w:t>.</w:t>
      </w:r>
    </w:p>
    <w:p w14:paraId="36640788" w14:textId="13F4CBA0" w:rsidR="0028720E" w:rsidRPr="0028720E" w:rsidRDefault="005F05B9" w:rsidP="0028720E">
      <w:pPr>
        <w:numPr>
          <w:ilvl w:val="0"/>
          <w:numId w:val="28"/>
        </w:numPr>
        <w:spacing w:before="0" w:after="60" w:line="280" w:lineRule="exact"/>
        <w:rPr>
          <w:szCs w:val="22"/>
        </w:rPr>
      </w:pPr>
      <w:bookmarkStart w:id="3" w:name="_Hlk176790569"/>
      <w:r>
        <w:t>P</w:t>
      </w:r>
      <w:r w:rsidR="00DC1BC2">
        <w:t xml:space="preserve">reparing </w:t>
      </w:r>
      <w:r w:rsidR="000233A9">
        <w:t xml:space="preserve">a GPCCMP </w:t>
      </w:r>
      <w:r w:rsidR="00DC1BC2">
        <w:t>will be defined as</w:t>
      </w:r>
      <w:bookmarkEnd w:id="3"/>
      <w:r w:rsidR="0028720E" w:rsidRPr="0028720E">
        <w:t xml:space="preserve"> </w:t>
      </w:r>
      <w:r w:rsidR="000063AE">
        <w:t xml:space="preserve">preparing </w:t>
      </w:r>
      <w:r w:rsidR="0028720E" w:rsidRPr="0028720E">
        <w:t>a written plan</w:t>
      </w:r>
      <w:r>
        <w:t xml:space="preserve"> which</w:t>
      </w:r>
      <w:r w:rsidR="0028720E" w:rsidRPr="0028720E">
        <w:t xml:space="preserve"> describ</w:t>
      </w:r>
      <w:r>
        <w:t>es</w:t>
      </w:r>
      <w:r w:rsidR="0028720E" w:rsidRPr="0028720E">
        <w:t xml:space="preserve">: </w:t>
      </w:r>
    </w:p>
    <w:p w14:paraId="3681C13A" w14:textId="078515AF" w:rsidR="0028720E" w:rsidRPr="00C837E2" w:rsidRDefault="0028720E" w:rsidP="009E2E59">
      <w:pPr>
        <w:numPr>
          <w:ilvl w:val="0"/>
          <w:numId w:val="35"/>
        </w:numPr>
        <w:ind w:left="709" w:hanging="283"/>
        <w:contextualSpacing/>
      </w:pPr>
      <w:r w:rsidRPr="00C837E2">
        <w:t>the patient’s chronic condition</w:t>
      </w:r>
      <w:r w:rsidR="00857851" w:rsidRPr="00C837E2">
        <w:t>(s)</w:t>
      </w:r>
      <w:r w:rsidRPr="00C837E2">
        <w:t xml:space="preserve"> and associated health care needs </w:t>
      </w:r>
    </w:p>
    <w:p w14:paraId="2ADE993A" w14:textId="77777777" w:rsidR="0028720E" w:rsidRPr="00C837E2" w:rsidRDefault="0028720E" w:rsidP="009E2E59">
      <w:pPr>
        <w:numPr>
          <w:ilvl w:val="0"/>
          <w:numId w:val="35"/>
        </w:numPr>
        <w:ind w:left="709" w:hanging="283"/>
        <w:contextualSpacing/>
      </w:pPr>
      <w:r w:rsidRPr="00C837E2">
        <w:t>health and lifestyle goals developed by the patient and medical practitioner using a shared decision making approach</w:t>
      </w:r>
    </w:p>
    <w:p w14:paraId="38A900AA" w14:textId="77777777" w:rsidR="0028720E" w:rsidRPr="00C837E2" w:rsidRDefault="0028720E" w:rsidP="009E2E59">
      <w:pPr>
        <w:numPr>
          <w:ilvl w:val="0"/>
          <w:numId w:val="35"/>
        </w:numPr>
        <w:ind w:left="709" w:hanging="283"/>
        <w:contextualSpacing/>
      </w:pPr>
      <w:r w:rsidRPr="00C837E2">
        <w:t>actions to be taken by the patient</w:t>
      </w:r>
    </w:p>
    <w:p w14:paraId="468B553F" w14:textId="77777777" w:rsidR="0028720E" w:rsidRPr="00C837E2" w:rsidRDefault="0028720E" w:rsidP="009E2E59">
      <w:pPr>
        <w:numPr>
          <w:ilvl w:val="0"/>
          <w:numId w:val="35"/>
        </w:numPr>
        <w:ind w:left="709" w:hanging="283"/>
        <w:contextualSpacing/>
      </w:pPr>
      <w:r w:rsidRPr="00C837E2">
        <w:t>treatment and services the patient is likely to need</w:t>
      </w:r>
    </w:p>
    <w:p w14:paraId="6A522368" w14:textId="14FEBED8" w:rsidR="0028720E" w:rsidRPr="00C837E2" w:rsidRDefault="0097185F" w:rsidP="009E2E59">
      <w:pPr>
        <w:numPr>
          <w:ilvl w:val="0"/>
          <w:numId w:val="35"/>
        </w:numPr>
        <w:ind w:left="709" w:hanging="283"/>
        <w:contextualSpacing/>
      </w:pPr>
      <w:r w:rsidRPr="00C837E2">
        <w:t xml:space="preserve">if the patient would benefit from multidisciplinary care to manage the chronic condition(s) </w:t>
      </w:r>
      <w:r w:rsidR="0028720E" w:rsidRPr="00C837E2">
        <w:t xml:space="preserve">the services that the medical practitioner will refer the patient to (including the purposes of those </w:t>
      </w:r>
      <w:r w:rsidRPr="00C837E2">
        <w:t xml:space="preserve">treatments or </w:t>
      </w:r>
      <w:r w:rsidR="0028720E" w:rsidRPr="00C837E2">
        <w:t>services)</w:t>
      </w:r>
    </w:p>
    <w:p w14:paraId="6C253E98" w14:textId="77777777" w:rsidR="0028720E" w:rsidRPr="00C837E2" w:rsidRDefault="0028720E" w:rsidP="009E2E59">
      <w:pPr>
        <w:numPr>
          <w:ilvl w:val="0"/>
          <w:numId w:val="35"/>
        </w:numPr>
        <w:ind w:left="709" w:hanging="283"/>
        <w:contextualSpacing/>
      </w:pPr>
      <w:r w:rsidRPr="00C837E2">
        <w:t>arrangements to review the plan, including the proposed timeframe for review.</w:t>
      </w:r>
    </w:p>
    <w:p w14:paraId="0E066E45" w14:textId="0800271A" w:rsidR="0097185F" w:rsidRPr="0028720E" w:rsidRDefault="0097185F" w:rsidP="00B91F01">
      <w:pPr>
        <w:pStyle w:val="ListBullet"/>
      </w:pPr>
      <w:r w:rsidRPr="0028720E">
        <w:t xml:space="preserve">If the patient is to be referred to a member of a multidisciplinary team, the GP or </w:t>
      </w:r>
      <w:r w:rsidR="00685D75">
        <w:t>PMP</w:t>
      </w:r>
      <w:r w:rsidRPr="0028720E">
        <w:t xml:space="preserve"> must:</w:t>
      </w:r>
    </w:p>
    <w:p w14:paraId="27C0F455" w14:textId="08E8B397" w:rsidR="0097185F" w:rsidRPr="009E2E59" w:rsidRDefault="0097185F" w:rsidP="009E2E59">
      <w:pPr>
        <w:numPr>
          <w:ilvl w:val="0"/>
          <w:numId w:val="35"/>
        </w:numPr>
        <w:ind w:left="709" w:hanging="283"/>
        <w:contextualSpacing/>
      </w:pPr>
      <w:r w:rsidRPr="009E2E59">
        <w:lastRenderedPageBreak/>
        <w:t>obtain the patient’s consent to sharing relevant information</w:t>
      </w:r>
      <w:r w:rsidR="005B05E6" w:rsidRPr="009E2E59">
        <w:t>,</w:t>
      </w:r>
      <w:r w:rsidRPr="009E2E59">
        <w:t xml:space="preserve"> including relevant parts of the plan</w:t>
      </w:r>
      <w:r w:rsidR="005B05E6" w:rsidRPr="009E2E59">
        <w:t>, with the multidisciplinary team</w:t>
      </w:r>
    </w:p>
    <w:p w14:paraId="4748150D" w14:textId="00B22131" w:rsidR="5F6AE161" w:rsidRDefault="5F6AE161" w:rsidP="009E2E59">
      <w:pPr>
        <w:numPr>
          <w:ilvl w:val="0"/>
          <w:numId w:val="35"/>
        </w:numPr>
        <w:ind w:left="709" w:hanging="283"/>
        <w:contextualSpacing/>
      </w:pPr>
      <w:r>
        <w:t>if the patient consents, the GP must provide relevant parts of the plan to the members of the multidisciplinary team, in addition to the referral</w:t>
      </w:r>
      <w:r w:rsidR="786585DA">
        <w:t xml:space="preserve"> (see separate factsheet for referral requirements)</w:t>
      </w:r>
    </w:p>
    <w:p w14:paraId="23DA7E7B" w14:textId="658DBD10" w:rsidR="00B91F01" w:rsidRPr="0097185F" w:rsidRDefault="2FD88C02" w:rsidP="009E2E59">
      <w:pPr>
        <w:numPr>
          <w:ilvl w:val="1"/>
          <w:numId w:val="35"/>
        </w:numPr>
        <w:contextualSpacing/>
      </w:pPr>
      <w:r>
        <w:t>there is no requirement for allied health providers to confirm acceptance of the referral or otherwise provide input into the preparation of the GPCCMP. However, the requirements for allied health providers to provide a written report back to the GP after the provision of certain services (e.g. the first service under a referral) are unchanged</w:t>
      </w:r>
    </w:p>
    <w:p w14:paraId="2C91CBA8" w14:textId="4BA7B116" w:rsidR="005F05B9" w:rsidRDefault="0051754F" w:rsidP="538358AF">
      <w:pPr>
        <w:pStyle w:val="ListBullet"/>
      </w:pPr>
      <w:r>
        <w:t>T</w:t>
      </w:r>
      <w:r w:rsidR="516E44B7">
        <w:t xml:space="preserve">he process of developing and finalising a GPCCMP </w:t>
      </w:r>
      <w:r w:rsidR="347F55F0">
        <w:t xml:space="preserve">must </w:t>
      </w:r>
      <w:r w:rsidR="516E44B7">
        <w:t>include:</w:t>
      </w:r>
    </w:p>
    <w:p w14:paraId="70289FE0" w14:textId="1E9334BA" w:rsidR="0028720E" w:rsidRPr="0028720E" w:rsidRDefault="1571C94F" w:rsidP="009E2E59">
      <w:pPr>
        <w:numPr>
          <w:ilvl w:val="0"/>
          <w:numId w:val="35"/>
        </w:numPr>
        <w:ind w:left="709" w:hanging="283"/>
        <w:contextualSpacing/>
      </w:pPr>
      <w:r>
        <w:t>R</w:t>
      </w:r>
      <w:r w:rsidR="6AEB319C">
        <w:t>ecord</w:t>
      </w:r>
      <w:r w:rsidR="516E44B7">
        <w:t>ing</w:t>
      </w:r>
      <w:r w:rsidR="6AEB319C">
        <w:t xml:space="preserve"> the patient’s consent and agreement to the preparation of the plan</w:t>
      </w:r>
    </w:p>
    <w:p w14:paraId="618A3568" w14:textId="3DE6040D" w:rsidR="0028720E" w:rsidRPr="0028720E" w:rsidRDefault="1571C94F" w:rsidP="009E2E59">
      <w:pPr>
        <w:numPr>
          <w:ilvl w:val="0"/>
          <w:numId w:val="35"/>
        </w:numPr>
        <w:ind w:left="709" w:hanging="283"/>
        <w:contextualSpacing/>
      </w:pPr>
      <w:r>
        <w:t>O</w:t>
      </w:r>
      <w:r w:rsidR="6AEB319C">
        <w:t>ffer</w:t>
      </w:r>
      <w:r w:rsidR="516E44B7">
        <w:t>ing</w:t>
      </w:r>
      <w:r w:rsidR="6AEB319C">
        <w:t xml:space="preserve"> a copy of the plan to the patient and the patient’s carer (if any, and if the practitioner considers it appropriate and the patient agrees)</w:t>
      </w:r>
    </w:p>
    <w:p w14:paraId="0E2FB951" w14:textId="1614D6A6" w:rsidR="0028720E" w:rsidRPr="0028720E" w:rsidRDefault="1571C94F" w:rsidP="009E2E59">
      <w:pPr>
        <w:numPr>
          <w:ilvl w:val="0"/>
          <w:numId w:val="35"/>
        </w:numPr>
        <w:ind w:left="709" w:hanging="283"/>
        <w:contextualSpacing/>
      </w:pPr>
      <w:r>
        <w:t>A</w:t>
      </w:r>
      <w:r w:rsidR="6AEB319C">
        <w:t>dd</w:t>
      </w:r>
      <w:r w:rsidR="516E44B7">
        <w:t>ing</w:t>
      </w:r>
      <w:r w:rsidR="6AEB319C">
        <w:t xml:space="preserve"> a copy of the plan to the patient’s medical records</w:t>
      </w:r>
      <w:r w:rsidR="0EE1BFF6">
        <w:t>.</w:t>
      </w:r>
    </w:p>
    <w:p w14:paraId="31951050" w14:textId="7375225C" w:rsidR="0028720E" w:rsidRPr="0028720E" w:rsidRDefault="0028720E" w:rsidP="0028720E">
      <w:pPr>
        <w:keepNext/>
        <w:keepLines/>
        <w:spacing w:before="240" w:after="60" w:line="280" w:lineRule="exact"/>
        <w:rPr>
          <w:b/>
          <w:caps/>
          <w:color w:val="358189"/>
          <w:szCs w:val="22"/>
        </w:rPr>
      </w:pPr>
      <w:r w:rsidRPr="0028720E">
        <w:rPr>
          <w:b/>
          <w:caps/>
          <w:color w:val="358189"/>
          <w:szCs w:val="22"/>
        </w:rPr>
        <w:t xml:space="preserve">Reviewing a </w:t>
      </w:r>
      <w:r w:rsidR="00AD1A39">
        <w:rPr>
          <w:b/>
          <w:caps/>
          <w:color w:val="358189"/>
          <w:szCs w:val="22"/>
        </w:rPr>
        <w:t>GPCCMP</w:t>
      </w:r>
    </w:p>
    <w:p w14:paraId="701E5F54" w14:textId="4508045D" w:rsidR="00F4298E" w:rsidRPr="0051754F" w:rsidRDefault="00F25179" w:rsidP="0051754F">
      <w:pPr>
        <w:numPr>
          <w:ilvl w:val="0"/>
          <w:numId w:val="28"/>
        </w:numPr>
        <w:spacing w:before="0" w:after="60" w:line="280" w:lineRule="exact"/>
        <w:rPr>
          <w:szCs w:val="22"/>
        </w:rPr>
      </w:pPr>
      <w:r w:rsidRPr="0051754F">
        <w:rPr>
          <w:szCs w:val="22"/>
        </w:rPr>
        <w:t xml:space="preserve">A key objective of the changes to the </w:t>
      </w:r>
      <w:r w:rsidR="006F23F7" w:rsidRPr="0051754F">
        <w:rPr>
          <w:szCs w:val="22"/>
        </w:rPr>
        <w:t xml:space="preserve">arrangements for chronic condition management is to encourage regular reviews of GPCCMPs. </w:t>
      </w:r>
      <w:r w:rsidR="003B77E5" w:rsidRPr="0051754F">
        <w:rPr>
          <w:szCs w:val="22"/>
        </w:rPr>
        <w:t>An existing GPCCMP can be reviewed and amended on an ongoing basis.</w:t>
      </w:r>
    </w:p>
    <w:p w14:paraId="1C4B887B" w14:textId="52E93F41" w:rsidR="003B77E5" w:rsidRDefault="003B77E5" w:rsidP="009E2E59">
      <w:pPr>
        <w:numPr>
          <w:ilvl w:val="0"/>
          <w:numId w:val="35"/>
        </w:numPr>
        <w:ind w:left="709" w:hanging="283"/>
        <w:contextualSpacing/>
      </w:pPr>
      <w:r>
        <w:t xml:space="preserve">The new MBS items to review a GPCCMP should only be used to review an existing GPCCMP. If a patient requires a review of a GPMP or TCA that was put in place prior to 1 </w:t>
      </w:r>
      <w:r w:rsidR="004C0E44" w:rsidRPr="0051754F">
        <w:t>July 2025 they should be transitioned to the new arrangements through the preparation of a GPCCMP</w:t>
      </w:r>
      <w:r w:rsidR="00C837E2" w:rsidRPr="0051754F">
        <w:t>.</w:t>
      </w:r>
    </w:p>
    <w:p w14:paraId="3315F038" w14:textId="763450D2" w:rsidR="004C0E44" w:rsidRPr="004C0E44" w:rsidRDefault="004C0E44" w:rsidP="007719DA">
      <w:pPr>
        <w:numPr>
          <w:ilvl w:val="0"/>
          <w:numId w:val="28"/>
        </w:numPr>
        <w:spacing w:before="0" w:after="60" w:line="280" w:lineRule="exact"/>
        <w:rPr>
          <w:szCs w:val="22"/>
        </w:rPr>
      </w:pPr>
      <w:r w:rsidRPr="004C0E44">
        <w:rPr>
          <w:szCs w:val="22"/>
        </w:rPr>
        <w:t>Unless exceptional circumstances apply, a GPCCMP can be reviewed every 3 months</w:t>
      </w:r>
      <w:r w:rsidR="00340CAC">
        <w:rPr>
          <w:szCs w:val="22"/>
        </w:rPr>
        <w:t>,</w:t>
      </w:r>
      <w:r w:rsidRPr="004C0E44">
        <w:rPr>
          <w:szCs w:val="22"/>
        </w:rPr>
        <w:t xml:space="preserve"> if it is clinically relevant to do so</w:t>
      </w:r>
      <w:r w:rsidR="00C837E2">
        <w:rPr>
          <w:szCs w:val="22"/>
        </w:rPr>
        <w:t>.</w:t>
      </w:r>
    </w:p>
    <w:p w14:paraId="5FDC8146" w14:textId="525A07C9" w:rsidR="00F15660" w:rsidRDefault="00C837E2" w:rsidP="0028720E">
      <w:pPr>
        <w:numPr>
          <w:ilvl w:val="0"/>
          <w:numId w:val="28"/>
        </w:numPr>
        <w:spacing w:before="0" w:after="60" w:line="280" w:lineRule="exact"/>
        <w:rPr>
          <w:szCs w:val="22"/>
        </w:rPr>
      </w:pPr>
      <w:r>
        <w:rPr>
          <w:szCs w:val="22"/>
        </w:rPr>
        <w:t>R</w:t>
      </w:r>
      <w:r w:rsidR="009B1833">
        <w:rPr>
          <w:szCs w:val="22"/>
        </w:rPr>
        <w:t>eviewing a GPCCMP means that</w:t>
      </w:r>
      <w:r w:rsidR="00F15660">
        <w:rPr>
          <w:szCs w:val="22"/>
        </w:rPr>
        <w:t>:</w:t>
      </w:r>
    </w:p>
    <w:p w14:paraId="04F51688" w14:textId="7B416D49" w:rsidR="0028720E" w:rsidRPr="00F15660" w:rsidRDefault="00F15660" w:rsidP="009E2E59">
      <w:pPr>
        <w:numPr>
          <w:ilvl w:val="0"/>
          <w:numId w:val="35"/>
        </w:numPr>
        <w:ind w:left="709" w:hanging="283"/>
        <w:contextualSpacing/>
      </w:pPr>
      <w:r w:rsidRPr="00F15660">
        <w:t>T</w:t>
      </w:r>
      <w:r w:rsidR="0028720E" w:rsidRPr="00F15660">
        <w:t xml:space="preserve">he </w:t>
      </w:r>
      <w:bookmarkStart w:id="4" w:name="_Hlk176791594"/>
      <w:r w:rsidR="0028720E" w:rsidRPr="00F15660">
        <w:t xml:space="preserve">GP or </w:t>
      </w:r>
      <w:r w:rsidR="008C0FC9">
        <w:t>PMP</w:t>
      </w:r>
      <w:r>
        <w:t xml:space="preserve"> </w:t>
      </w:r>
      <w:r w:rsidR="0028720E" w:rsidRPr="00F15660">
        <w:t xml:space="preserve">must </w:t>
      </w:r>
      <w:bookmarkEnd w:id="4"/>
      <w:r w:rsidR="0028720E" w:rsidRPr="00F15660">
        <w:t>discuss and documen</w:t>
      </w:r>
      <w:r w:rsidR="0028720E" w:rsidRPr="0028720E">
        <w:t>t</w:t>
      </w:r>
      <w:r w:rsidR="0051754F">
        <w:t>:</w:t>
      </w:r>
    </w:p>
    <w:p w14:paraId="496E20F8" w14:textId="7B460AED" w:rsidR="0028720E" w:rsidRPr="009E2E59" w:rsidRDefault="0028720E" w:rsidP="009E2E59">
      <w:pPr>
        <w:numPr>
          <w:ilvl w:val="1"/>
          <w:numId w:val="35"/>
        </w:numPr>
        <w:contextualSpacing/>
      </w:pPr>
      <w:r w:rsidRPr="009E2E59">
        <w:t>the patient’s progress in relation to the goals mentioned in the GP</w:t>
      </w:r>
      <w:r w:rsidR="00F15660" w:rsidRPr="009E2E59">
        <w:t>CCMP</w:t>
      </w:r>
    </w:p>
    <w:p w14:paraId="20F3A176" w14:textId="3748947F" w:rsidR="0028720E" w:rsidRPr="009E2E59" w:rsidRDefault="0028720E" w:rsidP="009E2E59">
      <w:pPr>
        <w:numPr>
          <w:ilvl w:val="1"/>
          <w:numId w:val="35"/>
        </w:numPr>
        <w:contextualSpacing/>
      </w:pPr>
      <w:r w:rsidRPr="009E2E59">
        <w:t xml:space="preserve">whether any updates should be made to the </w:t>
      </w:r>
      <w:r w:rsidR="004D3630" w:rsidRPr="009E2E59">
        <w:t>GPCCMP</w:t>
      </w:r>
      <w:r w:rsidR="00C837E2" w:rsidRPr="009E2E59">
        <w:t>.</w:t>
      </w:r>
    </w:p>
    <w:p w14:paraId="58651022" w14:textId="743A41B3" w:rsidR="0028720E" w:rsidRPr="00F15660" w:rsidRDefault="00FD4E93" w:rsidP="009E2E59">
      <w:pPr>
        <w:numPr>
          <w:ilvl w:val="0"/>
          <w:numId w:val="35"/>
        </w:numPr>
        <w:ind w:left="709" w:hanging="283"/>
        <w:contextualSpacing/>
      </w:pPr>
      <w:proofErr w:type="gramStart"/>
      <w:r>
        <w:t>T</w:t>
      </w:r>
      <w:r w:rsidRPr="00F15660">
        <w:t>aki</w:t>
      </w:r>
      <w:r>
        <w:t>ng</w:t>
      </w:r>
      <w:r w:rsidR="0028720E" w:rsidRPr="00F15660">
        <w:t xml:space="preserve"> into account</w:t>
      </w:r>
      <w:proofErr w:type="gramEnd"/>
      <w:r w:rsidR="0028720E" w:rsidRPr="00F15660">
        <w:t>:</w:t>
      </w:r>
    </w:p>
    <w:p w14:paraId="10D68AA5" w14:textId="79F7765F" w:rsidR="0028720E" w:rsidRPr="009E2E59" w:rsidRDefault="0028720E" w:rsidP="009E2E59">
      <w:pPr>
        <w:numPr>
          <w:ilvl w:val="1"/>
          <w:numId w:val="35"/>
        </w:numPr>
        <w:contextualSpacing/>
      </w:pPr>
      <w:r w:rsidRPr="009E2E59">
        <w:t>whether the goals remain appropriate</w:t>
      </w:r>
      <w:r w:rsidR="00FD4E93" w:rsidRPr="009E2E59">
        <w:t xml:space="preserve"> and </w:t>
      </w:r>
      <w:r w:rsidRPr="009E2E59">
        <w:t>the degree of progress towards the goals</w:t>
      </w:r>
    </w:p>
    <w:p w14:paraId="1A4E757E" w14:textId="25B96C6C" w:rsidR="0028720E" w:rsidRPr="009E2E59" w:rsidRDefault="0028720E" w:rsidP="009E2E59">
      <w:pPr>
        <w:numPr>
          <w:ilvl w:val="1"/>
          <w:numId w:val="35"/>
        </w:numPr>
        <w:contextualSpacing/>
      </w:pPr>
      <w:r w:rsidRPr="009E2E59">
        <w:t>information provided by members of the multidisciplinary team (if any)</w:t>
      </w:r>
      <w:r w:rsidR="00E006DC" w:rsidRPr="009E2E59">
        <w:t xml:space="preserve"> in relation to their</w:t>
      </w:r>
      <w:r w:rsidR="00213B3E" w:rsidRPr="009E2E59">
        <w:t xml:space="preserve"> treatment of the patient and </w:t>
      </w:r>
      <w:r w:rsidRPr="009E2E59">
        <w:t>the extent to which the services provided by the members of the multidisciplinary team are supporting the patient to meet the patient’s goals</w:t>
      </w:r>
      <w:r w:rsidR="00C837E2" w:rsidRPr="009E2E59">
        <w:t>.</w:t>
      </w:r>
    </w:p>
    <w:p w14:paraId="4EFE168C" w14:textId="2FF6896F" w:rsidR="0028720E" w:rsidRPr="00F15660" w:rsidRDefault="00C837E2" w:rsidP="009E2E59">
      <w:pPr>
        <w:numPr>
          <w:ilvl w:val="0"/>
          <w:numId w:val="35"/>
        </w:numPr>
        <w:ind w:left="709" w:hanging="283"/>
        <w:contextualSpacing/>
      </w:pPr>
      <w:r>
        <w:t>T</w:t>
      </w:r>
      <w:r w:rsidR="0028720E" w:rsidRPr="00F15660">
        <w:t>he arrangements to review the plan</w:t>
      </w:r>
      <w:r>
        <w:t xml:space="preserve"> are updated</w:t>
      </w:r>
      <w:r w:rsidR="0028720E" w:rsidRPr="00F15660">
        <w:t>, including the proposed timeframe for review</w:t>
      </w:r>
      <w:r w:rsidR="00B114DE">
        <w:t>,</w:t>
      </w:r>
      <w:r w:rsidR="00C805CA">
        <w:t xml:space="preserve"> and any other </w:t>
      </w:r>
      <w:r>
        <w:t xml:space="preserve">required </w:t>
      </w:r>
      <w:r w:rsidR="00C805CA">
        <w:t xml:space="preserve">updates to the plan </w:t>
      </w:r>
      <w:r>
        <w:t xml:space="preserve">are made in consultation with </w:t>
      </w:r>
      <w:r w:rsidR="00B114DE">
        <w:t>the patient</w:t>
      </w:r>
      <w:r w:rsidR="00B91F01">
        <w:t>.</w:t>
      </w:r>
    </w:p>
    <w:p w14:paraId="04B3E669" w14:textId="09BC6EBB" w:rsidR="0028720E" w:rsidRPr="00F15660" w:rsidRDefault="0028720E" w:rsidP="00B91F01">
      <w:pPr>
        <w:pStyle w:val="ListBullet"/>
      </w:pPr>
      <w:r w:rsidRPr="00F15660">
        <w:t>If the patient is to be referred to a member of the multidisciplinary team for management of the patient’s chronic condition</w:t>
      </w:r>
      <w:r w:rsidR="008D4860">
        <w:t>, the GP or PMP must</w:t>
      </w:r>
      <w:r w:rsidRPr="00F15660">
        <w:t>:</w:t>
      </w:r>
    </w:p>
    <w:p w14:paraId="049AECB1" w14:textId="5BBC7625" w:rsidR="0028720E" w:rsidRPr="0028720E" w:rsidRDefault="0051754F" w:rsidP="009E2E59">
      <w:pPr>
        <w:numPr>
          <w:ilvl w:val="0"/>
          <w:numId w:val="35"/>
        </w:numPr>
        <w:ind w:left="709" w:hanging="283"/>
        <w:contextualSpacing/>
      </w:pPr>
      <w:r>
        <w:lastRenderedPageBreak/>
        <w:t>O</w:t>
      </w:r>
      <w:r w:rsidR="6AEB319C">
        <w:t>btain the patient’s consent to sharing relevant information, including relevant parts of the plan</w:t>
      </w:r>
      <w:r w:rsidR="1571C94F">
        <w:t>, with members of the multidisciplinary team</w:t>
      </w:r>
    </w:p>
    <w:p w14:paraId="4676EBA9" w14:textId="6161E13D" w:rsidR="0028720E" w:rsidRPr="0028720E" w:rsidRDefault="0051754F" w:rsidP="009E2E59">
      <w:pPr>
        <w:numPr>
          <w:ilvl w:val="0"/>
          <w:numId w:val="35"/>
        </w:numPr>
        <w:ind w:left="709" w:hanging="283"/>
        <w:contextualSpacing/>
      </w:pPr>
      <w:r>
        <w:t>P</w:t>
      </w:r>
      <w:r w:rsidR="6AEB319C">
        <w:t xml:space="preserve">rovide relevant </w:t>
      </w:r>
      <w:r w:rsidR="6BF41D64">
        <w:t xml:space="preserve">updated </w:t>
      </w:r>
      <w:r w:rsidR="6AEB319C">
        <w:t>parts of the plan to the members of the multidisciplinary team if the patient consents</w:t>
      </w:r>
      <w:r w:rsidR="347F55F0">
        <w:t>.</w:t>
      </w:r>
    </w:p>
    <w:p w14:paraId="3FFBB337" w14:textId="20034237" w:rsidR="008D4860" w:rsidRDefault="347F55F0" w:rsidP="00B91F01">
      <w:pPr>
        <w:pStyle w:val="ListBullet"/>
      </w:pPr>
      <w:r>
        <w:t xml:space="preserve">The process of </w:t>
      </w:r>
      <w:r w:rsidR="2FD88C02">
        <w:t>reviewing</w:t>
      </w:r>
      <w:r>
        <w:t xml:space="preserve"> a GPCCMP must include:</w:t>
      </w:r>
    </w:p>
    <w:p w14:paraId="180699E2" w14:textId="1D258881" w:rsidR="0028720E" w:rsidRPr="009E2E59" w:rsidRDefault="0051754F" w:rsidP="009E2E59">
      <w:pPr>
        <w:numPr>
          <w:ilvl w:val="0"/>
          <w:numId w:val="35"/>
        </w:numPr>
        <w:ind w:left="709" w:hanging="283"/>
        <w:contextualSpacing/>
      </w:pPr>
      <w:r w:rsidRPr="009E2E59">
        <w:t>R</w:t>
      </w:r>
      <w:r w:rsidR="0028720E" w:rsidRPr="009E2E59">
        <w:t>ecord</w:t>
      </w:r>
      <w:r w:rsidR="008D4860" w:rsidRPr="009E2E59">
        <w:t>ing</w:t>
      </w:r>
      <w:r w:rsidR="0028720E" w:rsidRPr="009E2E59">
        <w:t xml:space="preserve"> the patient’s consent and agreement to the updates</w:t>
      </w:r>
    </w:p>
    <w:p w14:paraId="504A351D" w14:textId="48E33339" w:rsidR="0028720E" w:rsidRPr="009E2E59" w:rsidRDefault="0051754F" w:rsidP="009E2E59">
      <w:pPr>
        <w:numPr>
          <w:ilvl w:val="0"/>
          <w:numId w:val="35"/>
        </w:numPr>
        <w:ind w:left="709" w:hanging="283"/>
        <w:contextualSpacing/>
      </w:pPr>
      <w:r w:rsidRPr="009E2E59">
        <w:t>O</w:t>
      </w:r>
      <w:r w:rsidR="0028720E" w:rsidRPr="009E2E59">
        <w:t>ffer</w:t>
      </w:r>
      <w:r w:rsidR="008D4860" w:rsidRPr="009E2E59">
        <w:t>ing</w:t>
      </w:r>
      <w:r w:rsidR="0028720E" w:rsidRPr="009E2E59">
        <w:t xml:space="preserve"> a copy of the updated plan to the patient and the patient’s carer (if any) if the practitioner considers it appropriate and the patient agrees </w:t>
      </w:r>
    </w:p>
    <w:p w14:paraId="49E47459" w14:textId="22D4AB04" w:rsidR="0028720E" w:rsidRPr="009E2E59" w:rsidRDefault="0051754F" w:rsidP="009E2E59">
      <w:pPr>
        <w:numPr>
          <w:ilvl w:val="0"/>
          <w:numId w:val="35"/>
        </w:numPr>
        <w:ind w:left="709" w:hanging="283"/>
        <w:contextualSpacing/>
      </w:pPr>
      <w:r>
        <w:t>A</w:t>
      </w:r>
      <w:r w:rsidR="0028720E" w:rsidRPr="009E2E59">
        <w:t>dd</w:t>
      </w:r>
      <w:r w:rsidR="008D4860" w:rsidRPr="009E2E59">
        <w:t>ing</w:t>
      </w:r>
      <w:r w:rsidR="0028720E" w:rsidRPr="009E2E59">
        <w:t xml:space="preserve"> a copy of the updated plan to the patient’s medical records</w:t>
      </w:r>
      <w:r w:rsidR="008D4860" w:rsidRPr="009E2E59">
        <w:t>.</w:t>
      </w:r>
    </w:p>
    <w:p w14:paraId="25A46263" w14:textId="24104BD6" w:rsidR="00E879F6" w:rsidRDefault="00E879F6" w:rsidP="0028720E">
      <w:pPr>
        <w:keepNext/>
        <w:keepLines/>
        <w:spacing w:before="240" w:after="60" w:line="280" w:lineRule="exact"/>
        <w:rPr>
          <w:b/>
          <w:caps/>
          <w:color w:val="358189"/>
          <w:szCs w:val="22"/>
        </w:rPr>
      </w:pPr>
      <w:r>
        <w:rPr>
          <w:b/>
          <w:caps/>
          <w:color w:val="358189"/>
          <w:szCs w:val="22"/>
        </w:rPr>
        <w:t>multidisciplinary team</w:t>
      </w:r>
    </w:p>
    <w:p w14:paraId="6D6C35B3" w14:textId="2A5DBFD2" w:rsidR="00E879F6" w:rsidRDefault="007A6E54" w:rsidP="00E879F6">
      <w:pPr>
        <w:keepNext/>
        <w:keepLines/>
        <w:numPr>
          <w:ilvl w:val="0"/>
          <w:numId w:val="28"/>
        </w:numPr>
        <w:spacing w:before="0" w:after="60" w:line="280" w:lineRule="exact"/>
      </w:pPr>
      <w:r>
        <w:t xml:space="preserve">For the purposes of </w:t>
      </w:r>
      <w:r w:rsidR="00051F6D">
        <w:t xml:space="preserve">GPCCMPs, a member of the multidisciplinary team is a </w:t>
      </w:r>
      <w:r w:rsidR="006A1FC0">
        <w:t xml:space="preserve">person other than </w:t>
      </w:r>
      <w:r w:rsidR="00DF1B51">
        <w:t xml:space="preserve">the </w:t>
      </w:r>
      <w:r w:rsidR="00AE6A0F">
        <w:t>GP</w:t>
      </w:r>
      <w:r w:rsidR="00DF1B51">
        <w:t xml:space="preserve"> or </w:t>
      </w:r>
      <w:r w:rsidR="00AE6A0F">
        <w:t>PMP</w:t>
      </w:r>
      <w:r w:rsidR="00DF1B51">
        <w:t xml:space="preserve"> who:</w:t>
      </w:r>
    </w:p>
    <w:p w14:paraId="5F76C7FF" w14:textId="5D4DC749" w:rsidR="00DF1B51" w:rsidRPr="00AD6A36" w:rsidRDefault="00DF1B51" w:rsidP="009E2E59">
      <w:pPr>
        <w:numPr>
          <w:ilvl w:val="0"/>
          <w:numId w:val="35"/>
        </w:numPr>
        <w:ind w:left="709" w:hanging="283"/>
        <w:contextualSpacing/>
      </w:pPr>
      <w:r w:rsidRPr="00AD6A36">
        <w:t>Provides treatment o</w:t>
      </w:r>
      <w:r w:rsidR="002C0DAC">
        <w:t>r</w:t>
      </w:r>
      <w:r w:rsidRPr="00AD6A36">
        <w:t xml:space="preserve"> service to the patient, and</w:t>
      </w:r>
    </w:p>
    <w:p w14:paraId="5CDAE4AA" w14:textId="643B0A55" w:rsidR="00DF1B51" w:rsidRPr="00AD6A36" w:rsidRDefault="00DF1B51" w:rsidP="009E2E59">
      <w:pPr>
        <w:numPr>
          <w:ilvl w:val="0"/>
          <w:numId w:val="35"/>
        </w:numPr>
        <w:ind w:left="709" w:hanging="283"/>
        <w:contextualSpacing/>
      </w:pPr>
      <w:r w:rsidRPr="00AD6A36">
        <w:t xml:space="preserve">Provides a different kind of treatment </w:t>
      </w:r>
      <w:r w:rsidR="00AD6A36" w:rsidRPr="00AD6A36">
        <w:t xml:space="preserve">or services to the patients than each other member of the </w:t>
      </w:r>
      <w:r w:rsidR="00174DD7" w:rsidRPr="009E2E59">
        <w:t>multidisciplinary</w:t>
      </w:r>
      <w:r w:rsidR="00AD6A36" w:rsidRPr="00AD6A36">
        <w:t xml:space="preserve"> team, and</w:t>
      </w:r>
    </w:p>
    <w:p w14:paraId="56DA484B" w14:textId="2970366D" w:rsidR="00AD6A36" w:rsidRPr="00AD6A36" w:rsidRDefault="00AD6A36" w:rsidP="009E2E59">
      <w:pPr>
        <w:numPr>
          <w:ilvl w:val="0"/>
          <w:numId w:val="35"/>
        </w:numPr>
        <w:ind w:left="709" w:hanging="283"/>
        <w:contextualSpacing/>
      </w:pPr>
      <w:r w:rsidRPr="00AD6A36">
        <w:t>Is not an unpaid carer of the patient.</w:t>
      </w:r>
    </w:p>
    <w:p w14:paraId="103FDFE0" w14:textId="68559C15" w:rsidR="00AD6A36" w:rsidRPr="007719DA" w:rsidRDefault="00174DD7" w:rsidP="007719DA">
      <w:pPr>
        <w:pStyle w:val="ListBullet"/>
      </w:pPr>
      <w:r>
        <w:t xml:space="preserve">Members of the multidisciplinary team do not need to </w:t>
      </w:r>
      <w:r w:rsidR="00DB1D70">
        <w:t xml:space="preserve">provide services </w:t>
      </w:r>
      <w:r w:rsidR="00F4298E">
        <w:t>through the MBS to be a member of a patient’s multidisciplinary team</w:t>
      </w:r>
    </w:p>
    <w:p w14:paraId="42BD5171" w14:textId="77777777" w:rsidR="00064168" w:rsidRDefault="00064168" w:rsidP="00064168">
      <w:pPr>
        <w:pStyle w:val="Heading2"/>
      </w:pPr>
      <w:r>
        <w:t>Why are the changes being made?</w:t>
      </w:r>
    </w:p>
    <w:p w14:paraId="4B7BA53A" w14:textId="41048512" w:rsidR="00064168" w:rsidRPr="00867595" w:rsidRDefault="00064168" w:rsidP="00064168">
      <w:bookmarkStart w:id="5" w:name="_Hlk535386664"/>
      <w:r>
        <w:t>These changes are a result o</w:t>
      </w:r>
      <w:r w:rsidR="004D5E3F">
        <w:t>f</w:t>
      </w:r>
      <w:r>
        <w:t xml:space="preserve"> a review by the MBS Review Taskforce, which was informed by </w:t>
      </w:r>
      <w:r w:rsidR="00CB7C8C">
        <w:t xml:space="preserve">the </w:t>
      </w:r>
      <w:r w:rsidR="0028720E" w:rsidRPr="0028720E">
        <w:t>General Practice and Primary Care</w:t>
      </w:r>
      <w:r w:rsidR="0028720E" w:rsidRPr="0028720E">
        <w:rPr>
          <w:b/>
          <w:bCs/>
        </w:rPr>
        <w:t xml:space="preserve"> </w:t>
      </w:r>
      <w:r>
        <w:t xml:space="preserve">Clinical Committee. More information about the Taskforce and associated Committees is available in </w:t>
      </w:r>
      <w:hyperlink r:id="rId8">
        <w:r w:rsidR="0019761F" w:rsidRPr="37A8CB26">
          <w:rPr>
            <w:rStyle w:val="Hyperlink"/>
          </w:rPr>
          <w:t>Medicare Benefits Schedule Review</w:t>
        </w:r>
      </w:hyperlink>
      <w:r>
        <w:t xml:space="preserve"> in the consumer section of the</w:t>
      </w:r>
      <w:r w:rsidR="00C02732">
        <w:t xml:space="preserve"> </w:t>
      </w:r>
      <w:hyperlink r:id="rId9">
        <w:r w:rsidR="0028720E">
          <w:rPr>
            <w:rStyle w:val="Hyperlink"/>
          </w:rPr>
          <w:t>Department of Health, Disability and Ageing website</w:t>
        </w:r>
      </w:hyperlink>
      <w:r>
        <w:t xml:space="preserve">. </w:t>
      </w:r>
    </w:p>
    <w:p w14:paraId="617E7397" w14:textId="57B1C262" w:rsidR="00064168" w:rsidRPr="00867595" w:rsidRDefault="00064168" w:rsidP="37A8CB26">
      <w:pPr>
        <w:rPr>
          <w:rStyle w:val="Hyperlink"/>
        </w:rPr>
      </w:pPr>
      <w:r>
        <w:t xml:space="preserve">A full copy of the </w:t>
      </w:r>
      <w:r w:rsidR="0028720E" w:rsidRPr="0028720E">
        <w:t>General Practice and Primary Care</w:t>
      </w:r>
      <w:r w:rsidR="0028720E" w:rsidRPr="0028720E">
        <w:rPr>
          <w:b/>
          <w:bCs/>
        </w:rPr>
        <w:t xml:space="preserve"> </w:t>
      </w:r>
      <w:r>
        <w:t>Clinical Committee's final report can be found in the</w:t>
      </w:r>
      <w:r w:rsidRPr="37A8CB26">
        <w:rPr>
          <w:rStyle w:val="Strong"/>
        </w:rPr>
        <w:t xml:space="preserve"> </w:t>
      </w:r>
      <w:hyperlink r:id="rId10" w:history="1">
        <w:r w:rsidR="0028720E" w:rsidRPr="0028720E">
          <w:rPr>
            <w:rStyle w:val="Hyperlink"/>
          </w:rPr>
          <w:t>Publications</w:t>
        </w:r>
      </w:hyperlink>
      <w:r w:rsidR="0028720E" w:rsidRPr="0028720E">
        <w:rPr>
          <w:u w:val="single"/>
        </w:rPr>
        <w:t xml:space="preserve"> </w:t>
      </w:r>
      <w:r>
        <w:t xml:space="preserve">section of the </w:t>
      </w:r>
      <w:hyperlink r:id="rId11">
        <w:r w:rsidR="0028720E">
          <w:rPr>
            <w:rStyle w:val="Hyperlink"/>
          </w:rPr>
          <w:t>Department of Health, Disability and Ageing website</w:t>
        </w:r>
      </w:hyperlink>
      <w:bookmarkEnd w:id="5"/>
      <w:r w:rsidR="0019761F" w:rsidRPr="37A8CB26">
        <w:rPr>
          <w:rStyle w:val="Hyperlink"/>
        </w:rPr>
        <w:t>.</w:t>
      </w:r>
    </w:p>
    <w:p w14:paraId="4B2559AC" w14:textId="024F64EF" w:rsidR="00064168" w:rsidRDefault="00064168" w:rsidP="00064168">
      <w:pPr>
        <w:pStyle w:val="Heading2"/>
      </w:pPr>
      <w:r>
        <w:t>What does this mean for providers?</w:t>
      </w:r>
    </w:p>
    <w:p w14:paraId="15563176" w14:textId="77777777" w:rsidR="00D841D5" w:rsidRPr="00C21508" w:rsidRDefault="00D841D5" w:rsidP="00D841D5">
      <w:bookmarkStart w:id="6" w:name="_Hlk174118829"/>
      <w:r w:rsidRPr="00C21508">
        <w:rPr>
          <w:szCs w:val="22"/>
        </w:rPr>
        <w:t xml:space="preserve">The changes aim to </w:t>
      </w:r>
      <w:r w:rsidRPr="00C21508">
        <w:t>simplify, streamline, and modernise the arrangements for health professionals.</w:t>
      </w:r>
      <w:bookmarkEnd w:id="6"/>
      <w:r w:rsidRPr="00C21508">
        <w:t xml:space="preserve"> Key changes include:</w:t>
      </w:r>
    </w:p>
    <w:p w14:paraId="26B425E7" w14:textId="77777777" w:rsidR="00D841D5" w:rsidRPr="00C21508" w:rsidRDefault="00D841D5" w:rsidP="00D841D5">
      <w:pPr>
        <w:numPr>
          <w:ilvl w:val="0"/>
          <w:numId w:val="28"/>
        </w:numPr>
        <w:spacing w:before="0" w:after="60" w:line="280" w:lineRule="exact"/>
        <w:rPr>
          <w:szCs w:val="22"/>
        </w:rPr>
      </w:pPr>
      <w:r w:rsidRPr="00C21508">
        <w:rPr>
          <w:szCs w:val="22"/>
        </w:rPr>
        <w:t>Removal of multiple plans</w:t>
      </w:r>
    </w:p>
    <w:p w14:paraId="681EE4EF" w14:textId="77777777" w:rsidR="00D841D5" w:rsidRPr="00C21508" w:rsidRDefault="00D841D5" w:rsidP="00D841D5">
      <w:pPr>
        <w:numPr>
          <w:ilvl w:val="0"/>
          <w:numId w:val="28"/>
        </w:numPr>
        <w:spacing w:before="0" w:after="60" w:line="280" w:lineRule="exact"/>
        <w:rPr>
          <w:szCs w:val="22"/>
        </w:rPr>
      </w:pPr>
      <w:r w:rsidRPr="00C21508">
        <w:rPr>
          <w:szCs w:val="22"/>
        </w:rPr>
        <w:t>Collaboration with members of the patient’s multidisciplinary team will no longer be required in the development of the plan</w:t>
      </w:r>
    </w:p>
    <w:p w14:paraId="044192BF" w14:textId="6C3B7935" w:rsidR="00D841D5" w:rsidRDefault="00A8755D" w:rsidP="00D841D5">
      <w:pPr>
        <w:numPr>
          <w:ilvl w:val="0"/>
          <w:numId w:val="28"/>
        </w:numPr>
        <w:spacing w:before="0" w:after="60" w:line="280" w:lineRule="exact"/>
        <w:rPr>
          <w:szCs w:val="22"/>
        </w:rPr>
      </w:pPr>
      <w:r>
        <w:rPr>
          <w:szCs w:val="22"/>
        </w:rPr>
        <w:t>Better supporting continuity of care through strengthened usual medical practitioner requirements</w:t>
      </w:r>
    </w:p>
    <w:p w14:paraId="46E2A4C1" w14:textId="2CEA63C3" w:rsidR="008D4860" w:rsidRPr="008D4860" w:rsidRDefault="008D4860" w:rsidP="008D4860">
      <w:pPr>
        <w:numPr>
          <w:ilvl w:val="0"/>
          <w:numId w:val="28"/>
        </w:numPr>
        <w:spacing w:before="0" w:after="60" w:line="280" w:lineRule="exact"/>
        <w:rPr>
          <w:szCs w:val="22"/>
        </w:rPr>
      </w:pPr>
      <w:r>
        <w:rPr>
          <w:szCs w:val="22"/>
        </w:rPr>
        <w:t>P</w:t>
      </w:r>
      <w:r w:rsidRPr="004C1BAD">
        <w:rPr>
          <w:szCs w:val="22"/>
        </w:rPr>
        <w:t>atients registered through MyMedicare will be required to access the plan and review items through the practice where they are registered</w:t>
      </w:r>
      <w:r>
        <w:rPr>
          <w:szCs w:val="22"/>
        </w:rPr>
        <w:t>, with o</w:t>
      </w:r>
      <w:r w:rsidRPr="004C1BAD">
        <w:rPr>
          <w:szCs w:val="22"/>
        </w:rPr>
        <w:t xml:space="preserve">ther patients </w:t>
      </w:r>
      <w:r>
        <w:rPr>
          <w:szCs w:val="22"/>
        </w:rPr>
        <w:t xml:space="preserve">continuing </w:t>
      </w:r>
      <w:r w:rsidRPr="004C1BAD">
        <w:rPr>
          <w:szCs w:val="22"/>
        </w:rPr>
        <w:t>to access the items through their usual GP</w:t>
      </w:r>
      <w:r>
        <w:rPr>
          <w:szCs w:val="22"/>
        </w:rPr>
        <w:t>.</w:t>
      </w:r>
    </w:p>
    <w:p w14:paraId="7F7DA4F7" w14:textId="77777777" w:rsidR="00064168" w:rsidRDefault="00064168" w:rsidP="00064168">
      <w:pPr>
        <w:pStyle w:val="Heading2"/>
      </w:pPr>
      <w:r>
        <w:lastRenderedPageBreak/>
        <w:t>How will these changes affect patients</w:t>
      </w:r>
      <w:r w:rsidRPr="001A7FB7">
        <w:t>?</w:t>
      </w:r>
    </w:p>
    <w:p w14:paraId="6CA2FED7" w14:textId="77777777" w:rsidR="00D841D5" w:rsidRDefault="00D841D5" w:rsidP="00D841D5">
      <w:pPr>
        <w:rPr>
          <w:szCs w:val="22"/>
        </w:rPr>
      </w:pPr>
      <w:r>
        <w:rPr>
          <w:szCs w:val="22"/>
        </w:rPr>
        <w:t>Patients will benefit from simplified arrangements. The revised framework will support patients through improved continuity of care and improved arrangements for the transfer of information between members of their care team.</w:t>
      </w:r>
    </w:p>
    <w:p w14:paraId="5BD9BE80" w14:textId="77777777" w:rsidR="00064168" w:rsidRDefault="00064168" w:rsidP="00064168">
      <w:pPr>
        <w:pStyle w:val="Heading2"/>
      </w:pPr>
      <w:r w:rsidRPr="001A7FB7">
        <w:t>Who was consulted on the changes?</w:t>
      </w:r>
    </w:p>
    <w:p w14:paraId="4CFCADD7" w14:textId="77777777" w:rsidR="00D841D5" w:rsidRPr="009D20CE" w:rsidRDefault="00D841D5" w:rsidP="00D841D5">
      <w:pPr>
        <w:rPr>
          <w:szCs w:val="22"/>
        </w:rPr>
      </w:pPr>
      <w:r>
        <w:t>The General Practice and Primary Care Clinical Committee (GPPCCC) was established in 2016 by the MBS Review Taskforce (the ‘Taskforce’), to provide broad clinician and consumer expertise. The MBS Review included a public consultation process on the proposed changes from December 2018 to March 2019. Feedback was received from a broad range of stakeholders and considered by the GPPCCC prior to making its final recommendations to the Taskforce.</w:t>
      </w:r>
    </w:p>
    <w:p w14:paraId="3E19EBAC" w14:textId="7C82CB78" w:rsidR="1378E846" w:rsidRDefault="1378E846" w:rsidP="69CAF28B">
      <w:r w:rsidRPr="69CAF28B">
        <w:rPr>
          <w:rFonts w:eastAsia="Arial" w:cs="Arial"/>
          <w:szCs w:val="22"/>
        </w:rPr>
        <w:t>Following the MBS Review (during implementation), ongoing consultation occurred through an Implementation Liaison Group which included, amongst other stakeholders, the Australian Medical Association, the Royal Australian College of General Practitioners, the Rural Doctors Association, Allied Health Professionals Australia, the Australian Primary Health Care Nurses Association, and the National Association of Aboriginal and Torres Strait Islander Health Workers and Practitioners. A Communications Working Group was also established which included representatives of the affected health professions to support communications to health professionals.</w:t>
      </w:r>
    </w:p>
    <w:p w14:paraId="32E82B19" w14:textId="77777777" w:rsidR="00064168" w:rsidRDefault="00064168" w:rsidP="00064168">
      <w:pPr>
        <w:pStyle w:val="Heading2"/>
      </w:pPr>
      <w:r w:rsidRPr="001A7FB7">
        <w:t>How will the changes be monitored</w:t>
      </w:r>
      <w:r>
        <w:t xml:space="preserve"> and reviewed</w:t>
      </w:r>
      <w:r w:rsidRPr="001A7FB7">
        <w:t>?</w:t>
      </w:r>
    </w:p>
    <w:p w14:paraId="7B633952" w14:textId="755F278A" w:rsidR="00D841D5" w:rsidRPr="009D20CE" w:rsidRDefault="00D841D5" w:rsidP="00D841D5">
      <w:r>
        <w:t xml:space="preserve">Changes to MBS items are subject to post-implementation review. Post-implementation reviews typically occur around </w:t>
      </w:r>
      <w:r w:rsidR="5D905B1A">
        <w:t xml:space="preserve">2 </w:t>
      </w:r>
      <w:r>
        <w:t>years after implementation of the change.</w:t>
      </w:r>
    </w:p>
    <w:p w14:paraId="41BBDDBB" w14:textId="69D06B15" w:rsidR="00BE42C7" w:rsidRPr="00B27A99" w:rsidRDefault="00D20254" w:rsidP="00B27A99">
      <w:pPr>
        <w:rPr>
          <w:szCs w:val="22"/>
        </w:rPr>
      </w:pPr>
      <w:r w:rsidRPr="00D20254">
        <w:rPr>
          <w:szCs w:val="22"/>
        </w:rPr>
        <w:t>Providers are responsible for ensuring Medicare services claimed using their provider number meet all legislative requirements</w:t>
      </w:r>
      <w:r w:rsidR="00CD21E2">
        <w:rPr>
          <w:szCs w:val="22"/>
        </w:rPr>
        <w:t xml:space="preserve">. </w:t>
      </w:r>
      <w:r w:rsidRPr="00D20254">
        <w:rPr>
          <w:szCs w:val="22"/>
        </w:rPr>
        <w:t xml:space="preserve">All Medicare claiming is subject to compliance checks and providers may be required to submit evidence about the services they bill. More information about the </w:t>
      </w:r>
      <w:r w:rsidR="008E007D" w:rsidRPr="00867595">
        <w:rPr>
          <w:szCs w:val="22"/>
        </w:rPr>
        <w:t>Department of Healt</w:t>
      </w:r>
      <w:r w:rsidR="00D841D5">
        <w:rPr>
          <w:szCs w:val="22"/>
        </w:rPr>
        <w:t>h, Disability and Ageing</w:t>
      </w:r>
      <w:r w:rsidR="008E007D">
        <w:rPr>
          <w:szCs w:val="22"/>
        </w:rPr>
        <w:t xml:space="preserve">’s (the </w:t>
      </w:r>
      <w:r w:rsidR="001427CD">
        <w:rPr>
          <w:szCs w:val="22"/>
        </w:rPr>
        <w:t>d</w:t>
      </w:r>
      <w:r w:rsidRPr="00D20254">
        <w:rPr>
          <w:szCs w:val="22"/>
        </w:rPr>
        <w:t>epartment</w:t>
      </w:r>
      <w:r w:rsidR="00F76ED3">
        <w:rPr>
          <w:szCs w:val="22"/>
        </w:rPr>
        <w:t>’s</w:t>
      </w:r>
      <w:r w:rsidR="008E007D">
        <w:rPr>
          <w:szCs w:val="22"/>
        </w:rPr>
        <w:t>)</w:t>
      </w:r>
      <w:r w:rsidRPr="00D20254">
        <w:rPr>
          <w:szCs w:val="22"/>
        </w:rPr>
        <w:t xml:space="preserve"> compliance program can be found on its website at </w:t>
      </w:r>
      <w:hyperlink r:id="rId12" w:tgtFrame="_blank" w:tooltip="https://www.health.gov.au/topics/medicare/compliance" w:history="1">
        <w:r w:rsidR="001F76C6" w:rsidRPr="001F76C6">
          <w:rPr>
            <w:rStyle w:val="Hyperlink"/>
            <w:szCs w:val="22"/>
          </w:rPr>
          <w:t>Medicare compliance</w:t>
        </w:r>
      </w:hyperlink>
      <w:r w:rsidR="001F76C6" w:rsidRPr="001F76C6">
        <w:rPr>
          <w:szCs w:val="22"/>
        </w:rPr>
        <w:t>.</w:t>
      </w:r>
    </w:p>
    <w:p w14:paraId="3C63E237" w14:textId="77777777" w:rsidR="00064168" w:rsidRDefault="00064168" w:rsidP="00064168">
      <w:pPr>
        <w:pStyle w:val="Heading2"/>
      </w:pPr>
      <w:r>
        <w:t>Where can I find more information?</w:t>
      </w:r>
    </w:p>
    <w:p w14:paraId="5EEA2BAC" w14:textId="25850E94" w:rsidR="00064168" w:rsidRPr="00867595" w:rsidRDefault="00064168" w:rsidP="00064168">
      <w:pPr>
        <w:rPr>
          <w:szCs w:val="22"/>
        </w:rPr>
      </w:pPr>
      <w:r w:rsidRPr="00867595">
        <w:rPr>
          <w:szCs w:val="22"/>
        </w:rPr>
        <w:t xml:space="preserve">The full item descriptor(s) and information on other changes to the MBS can be found on the </w:t>
      </w:r>
      <w:hyperlink r:id="rId13"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4"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w:t>
      </w:r>
    </w:p>
    <w:p w14:paraId="19B67CD4" w14:textId="1A48238E" w:rsidR="001873B1" w:rsidRPr="000B7029" w:rsidRDefault="001873B1" w:rsidP="00064168">
      <w:pPr>
        <w:rPr>
          <w:szCs w:val="22"/>
        </w:rPr>
      </w:pPr>
      <w:r w:rsidRPr="001873B1">
        <w:rPr>
          <w:szCs w:val="22"/>
        </w:rPr>
        <w:t xml:space="preserve">Providers seeking advice on interpretation of MBS items, explanatory notes and associated legislation can use the department’s email advice service by emailing </w:t>
      </w:r>
      <w:hyperlink r:id="rId15" w:history="1">
        <w:r w:rsidRPr="001873B1">
          <w:rPr>
            <w:rStyle w:val="Hyperlink"/>
            <w:szCs w:val="22"/>
          </w:rPr>
          <w:t>askMBS@health.gov.au</w:t>
        </w:r>
      </w:hyperlink>
      <w:r w:rsidRPr="001873B1">
        <w:rPr>
          <w:szCs w:val="22"/>
        </w:rPr>
        <w:t>.</w:t>
      </w:r>
    </w:p>
    <w:p w14:paraId="1D6CA1FB" w14:textId="5363557C" w:rsidR="001245EF" w:rsidRDefault="001245EF" w:rsidP="001245EF">
      <w:pPr>
        <w:rPr>
          <w:color w:val="auto"/>
          <w:sz w:val="20"/>
          <w:szCs w:val="21"/>
        </w:rPr>
      </w:pPr>
      <w:r>
        <w:t xml:space="preserve">Private health insurance information on the product tier arrangements is available at </w:t>
      </w:r>
      <w:hyperlink r:id="rId16" w:history="1">
        <w:r>
          <w:rPr>
            <w:rStyle w:val="Hyperlink"/>
          </w:rPr>
          <w:t>www.privatehealth.gov.au</w:t>
        </w:r>
      </w:hyperlink>
      <w:r>
        <w:t xml:space="preserve">. Detailed information on the MBS item listing within clinical categories is available on the </w:t>
      </w:r>
      <w:hyperlink r:id="rId17" w:history="1">
        <w:r w:rsidR="001427CD">
          <w:rPr>
            <w:rStyle w:val="Hyperlink"/>
          </w:rPr>
          <w:t>d</w:t>
        </w:r>
        <w:r>
          <w:rPr>
            <w:rStyle w:val="Hyperlink"/>
          </w:rPr>
          <w:t>epartment’s website</w:t>
        </w:r>
      </w:hyperlink>
      <w:r>
        <w:t xml:space="preserve">. Private health insurance minimum </w:t>
      </w:r>
      <w:r>
        <w:lastRenderedPageBreak/>
        <w:t xml:space="preserve">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8"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9" w:history="1">
        <w:r>
          <w:rPr>
            <w:rStyle w:val="Hyperlink"/>
          </w:rPr>
          <w:t>PHI@health.gov.au</w:t>
        </w:r>
      </w:hyperlink>
      <w:r>
        <w:t>.</w:t>
      </w:r>
    </w:p>
    <w:p w14:paraId="359DC9B9" w14:textId="25931414" w:rsidR="00064168" w:rsidRPr="00867595" w:rsidRDefault="00064168" w:rsidP="00064168">
      <w:pPr>
        <w:rPr>
          <w:szCs w:val="22"/>
        </w:rPr>
      </w:pPr>
      <w:r w:rsidRPr="00867595">
        <w:rPr>
          <w:szCs w:val="22"/>
        </w:rPr>
        <w:t>Subscribe to ‘</w:t>
      </w:r>
      <w:hyperlink r:id="rId20" w:history="1">
        <w:r w:rsidRPr="00867595">
          <w:rPr>
            <w:rStyle w:val="Hyperlink"/>
            <w:szCs w:val="22"/>
          </w:rPr>
          <w:t>News for Health Professionals</w:t>
        </w:r>
      </w:hyperlink>
      <w:r w:rsidRPr="00867595">
        <w:rPr>
          <w:szCs w:val="22"/>
        </w:rPr>
        <w:t xml:space="preserve">’ on the Services Australia website </w:t>
      </w:r>
      <w:r w:rsidR="00E91576">
        <w:rPr>
          <w:szCs w:val="22"/>
        </w:rPr>
        <w:t>to</w:t>
      </w:r>
      <w:r w:rsidRPr="00867595">
        <w:rPr>
          <w:szCs w:val="22"/>
        </w:rPr>
        <w:t xml:space="preserve"> receive regular news highlights.</w:t>
      </w:r>
    </w:p>
    <w:p w14:paraId="01509414" w14:textId="1675FEE9"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7" w:name="_Hlk7773414"/>
      <w:r w:rsidRPr="00867595">
        <w:rPr>
          <w:szCs w:val="22"/>
        </w:rPr>
        <w:t xml:space="preserve">go to the Health Professionals page on the Services Australia website or </w:t>
      </w:r>
      <w:bookmarkEnd w:id="7"/>
      <w:r w:rsidRPr="00867595">
        <w:rPr>
          <w:szCs w:val="22"/>
        </w:rPr>
        <w:t xml:space="preserve">contact Services Australia on the Provider Enquiry Line – 13 21 50. </w:t>
      </w:r>
    </w:p>
    <w:p w14:paraId="0B4D7CE4" w14:textId="76AA08BF" w:rsidR="00064168" w:rsidRDefault="00064168" w:rsidP="00064168">
      <w:pPr>
        <w:rPr>
          <w:szCs w:val="22"/>
        </w:rPr>
      </w:pPr>
      <w:r w:rsidRPr="00867595">
        <w:rPr>
          <w:szCs w:val="22"/>
        </w:rPr>
        <w:t xml:space="preserve">The data file for software vendors when available can be accessed via the </w:t>
      </w:r>
      <w:hyperlink r:id="rId21" w:history="1">
        <w:r w:rsidR="00C02732" w:rsidRPr="00C02732">
          <w:rPr>
            <w:rStyle w:val="Hyperlink"/>
            <w:szCs w:val="22"/>
          </w:rPr>
          <w:t>Downloads</w:t>
        </w:r>
      </w:hyperlink>
      <w:r w:rsidRPr="00867595">
        <w:rPr>
          <w:szCs w:val="22"/>
        </w:rPr>
        <w:t xml:space="preserve"> page.</w:t>
      </w:r>
    </w:p>
    <w:p w14:paraId="34FBE781" w14:textId="77777777" w:rsidR="00D841D5" w:rsidRPr="00867595" w:rsidRDefault="00D841D5" w:rsidP="00064168">
      <w:pPr>
        <w:rPr>
          <w:szCs w:val="22"/>
        </w:rPr>
      </w:pP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2"/>
      <w:headerReference w:type="first" r:id="rId23"/>
      <w:footerReference w:type="first" r:id="rId2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FB6CC" w14:textId="77777777" w:rsidR="005C5850" w:rsidRDefault="005C5850" w:rsidP="006B56BB">
      <w:r>
        <w:separator/>
      </w:r>
    </w:p>
    <w:p w14:paraId="618466BB" w14:textId="77777777" w:rsidR="005C5850" w:rsidRDefault="005C5850"/>
  </w:endnote>
  <w:endnote w:type="continuationSeparator" w:id="0">
    <w:p w14:paraId="76C3DB0D" w14:textId="77777777" w:rsidR="005C5850" w:rsidRDefault="005C5850" w:rsidP="006B56BB">
      <w:r>
        <w:continuationSeparator/>
      </w:r>
    </w:p>
    <w:p w14:paraId="52B7860C" w14:textId="77777777" w:rsidR="005C5850" w:rsidRDefault="005C5850"/>
  </w:endnote>
  <w:endnote w:type="continuationNotice" w:id="1">
    <w:p w14:paraId="04CF08B0" w14:textId="77777777" w:rsidR="005C5850" w:rsidRDefault="005C5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00000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384E04FD" w:rsidR="00F51321" w:rsidRPr="00BD1D77" w:rsidRDefault="00D841D5" w:rsidP="00D841D5">
    <w:pPr>
      <w:pStyle w:val="Footer"/>
      <w:tabs>
        <w:tab w:val="clear" w:pos="9026"/>
        <w:tab w:val="right" w:pos="10466"/>
      </w:tabs>
      <w:jc w:val="left"/>
      <w:rPr>
        <w:szCs w:val="20"/>
      </w:rPr>
    </w:pPr>
    <w:r w:rsidRPr="00D841D5">
      <w:rPr>
        <w:b/>
        <w:bCs/>
        <w:szCs w:val="20"/>
      </w:rPr>
      <w:t xml:space="preserve">Upcoming Changes to Chronic Disease Management Framework – </w:t>
    </w:r>
    <w:r w:rsidR="0077324C">
      <w:rPr>
        <w:b/>
        <w:bCs/>
        <w:szCs w:val="20"/>
      </w:rPr>
      <w:t xml:space="preserve">MBS Items for </w:t>
    </w:r>
    <w:r w:rsidRPr="00D841D5">
      <w:rPr>
        <w:b/>
        <w:bCs/>
        <w:szCs w:val="20"/>
      </w:rPr>
      <w:t>GP Chronic Condition Management Plans</w:t>
    </w:r>
    <w:r w:rsidRPr="00D841D5">
      <w:rPr>
        <w:b/>
        <w:szCs w:val="20"/>
      </w:rPr>
      <w:t xml:space="preserve"> </w:t>
    </w:r>
    <w:r w:rsidR="00F51321" w:rsidRPr="00BD1D77">
      <w:rPr>
        <w:b/>
        <w:szCs w:val="20"/>
      </w:rPr>
      <w:t>–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15EF1E51" w:rsidR="00CB03B8" w:rsidRPr="00F51321" w:rsidRDefault="00F51321" w:rsidP="00292535">
    <w:pPr>
      <w:pStyle w:val="Footer"/>
      <w:jc w:val="left"/>
    </w:pPr>
    <w:r w:rsidRPr="00BD1D77">
      <w:rPr>
        <w:szCs w:val="20"/>
      </w:rPr>
      <w:t xml:space="preserve">Last updated – </w:t>
    </w:r>
    <w:r w:rsidR="00E107F7">
      <w:rPr>
        <w:szCs w:val="20"/>
      </w:rPr>
      <w:t>2</w:t>
    </w:r>
    <w:r w:rsidR="00534A0B">
      <w:rPr>
        <w:szCs w:val="20"/>
      </w:rPr>
      <w:t>2</w:t>
    </w:r>
    <w:r w:rsidRPr="00BD1D77">
      <w:rPr>
        <w:szCs w:val="20"/>
      </w:rPr>
      <w:t xml:space="preserve"> </w:t>
    </w:r>
    <w:r w:rsidR="00D841D5">
      <w:rPr>
        <w:szCs w:val="20"/>
      </w:rPr>
      <w:t>May</w:t>
    </w:r>
    <w:r w:rsidRPr="00BD1D77">
      <w:rPr>
        <w:szCs w:val="20"/>
      </w:rPr>
      <w:t xml:space="preserve"> </w:t>
    </w:r>
    <w:r w:rsidR="008741DA" w:rsidRPr="00BD1D77">
      <w:rPr>
        <w:szCs w:val="20"/>
      </w:rPr>
      <w:t>20</w:t>
    </w:r>
    <w:r w:rsidR="008741DA">
      <w:rPr>
        <w:szCs w:val="20"/>
      </w:rPr>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55B15276" w:rsidR="00064168" w:rsidRPr="00D841D5" w:rsidRDefault="00D841D5" w:rsidP="00D841D5">
    <w:pPr>
      <w:pStyle w:val="Footer"/>
      <w:tabs>
        <w:tab w:val="right" w:pos="10466"/>
      </w:tabs>
      <w:jc w:val="left"/>
      <w:rPr>
        <w:b/>
        <w:szCs w:val="20"/>
      </w:rPr>
    </w:pPr>
    <w:bookmarkStart w:id="8" w:name="_Hlk198214173"/>
    <w:r w:rsidRPr="00D841D5">
      <w:rPr>
        <w:b/>
        <w:bCs/>
        <w:szCs w:val="20"/>
      </w:rPr>
      <w:t xml:space="preserve">Upcoming Changes to Chronic Disease Management Framework – </w:t>
    </w:r>
    <w:r w:rsidR="0077324C">
      <w:rPr>
        <w:b/>
        <w:bCs/>
        <w:szCs w:val="20"/>
      </w:rPr>
      <w:t xml:space="preserve">MBS Items for </w:t>
    </w:r>
    <w:r w:rsidRPr="00D841D5">
      <w:rPr>
        <w:b/>
        <w:bCs/>
        <w:szCs w:val="20"/>
      </w:rPr>
      <w:t>GP Chronic Condition Management Plans</w:t>
    </w:r>
    <w:r w:rsidRPr="00D841D5">
      <w:rPr>
        <w:b/>
        <w:szCs w:val="20"/>
      </w:rPr>
      <w:t xml:space="preserve"> </w:t>
    </w:r>
    <w:bookmarkEnd w:id="8"/>
    <w:r w:rsidR="00064168" w:rsidRPr="00BD1D77">
      <w:rPr>
        <w:b/>
        <w:szCs w:val="20"/>
      </w:rPr>
      <w:t>–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7B2C6B18" w:rsidR="00064168" w:rsidRPr="00BD1D77" w:rsidRDefault="00064168" w:rsidP="00064168">
    <w:pPr>
      <w:pStyle w:val="Footer"/>
      <w:jc w:val="left"/>
      <w:rPr>
        <w:szCs w:val="20"/>
      </w:rPr>
    </w:pPr>
    <w:r w:rsidRPr="00BD1D77">
      <w:rPr>
        <w:szCs w:val="20"/>
      </w:rPr>
      <w:t xml:space="preserve">Last </w:t>
    </w:r>
    <w:r w:rsidRPr="00E107F7">
      <w:rPr>
        <w:szCs w:val="20"/>
      </w:rPr>
      <w:t xml:space="preserve">updated – </w:t>
    </w:r>
    <w:r w:rsidR="00E107F7" w:rsidRPr="007719DA">
      <w:rPr>
        <w:szCs w:val="20"/>
      </w:rPr>
      <w:t>2</w:t>
    </w:r>
    <w:r w:rsidR="00534A0B">
      <w:rPr>
        <w:szCs w:val="20"/>
      </w:rPr>
      <w:t>2</w:t>
    </w:r>
    <w:r w:rsidRPr="00E107F7">
      <w:rPr>
        <w:szCs w:val="20"/>
      </w:rPr>
      <w:t xml:space="preserve"> </w:t>
    </w:r>
    <w:r w:rsidR="00D841D5" w:rsidRPr="00E107F7">
      <w:rPr>
        <w:szCs w:val="20"/>
      </w:rPr>
      <w:t>May</w:t>
    </w:r>
    <w:r w:rsidRPr="00BD1D77">
      <w:rPr>
        <w:szCs w:val="20"/>
      </w:rPr>
      <w:t xml:space="preserve"> </w:t>
    </w:r>
    <w:r w:rsidR="00D841D5">
      <w:rPr>
        <w:szCs w:val="20"/>
      </w:rPr>
      <w:t>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6CEE8" w14:textId="77777777" w:rsidR="005C5850" w:rsidRDefault="005C5850" w:rsidP="006B56BB">
      <w:r>
        <w:separator/>
      </w:r>
    </w:p>
    <w:p w14:paraId="50CC6F66" w14:textId="77777777" w:rsidR="005C5850" w:rsidRDefault="005C5850"/>
  </w:footnote>
  <w:footnote w:type="continuationSeparator" w:id="0">
    <w:p w14:paraId="52E38D1A" w14:textId="77777777" w:rsidR="005C5850" w:rsidRDefault="005C5850" w:rsidP="006B56BB">
      <w:r>
        <w:continuationSeparator/>
      </w:r>
    </w:p>
    <w:p w14:paraId="7EA8FB6E" w14:textId="77777777" w:rsidR="005C5850" w:rsidRDefault="005C5850"/>
  </w:footnote>
  <w:footnote w:type="continuationNotice" w:id="1">
    <w:p w14:paraId="4AD1C299" w14:textId="77777777" w:rsidR="005C5850" w:rsidRDefault="005C5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335FCCF" w:rsidR="00B53987" w:rsidRDefault="004C3F78">
    <w:pPr>
      <w:pStyle w:val="Header"/>
    </w:pPr>
    <w:r>
      <w:rPr>
        <w:noProof/>
        <w:lang w:eastAsia="en-AU"/>
      </w:rPr>
      <w:drawing>
        <wp:inline distT="0" distB="0" distL="0" distR="0" wp14:anchorId="79307407" wp14:editId="5E77DEA9">
          <wp:extent cx="3343275" cy="533400"/>
          <wp:effectExtent l="0" t="0" r="9525" b="0"/>
          <wp:docPr id="1207914144" name="Picture 1" descr="Australian Government Department of Health and Disability and Ag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14144" name="Picture 1" descr="Australian Government Department of Health and Disability and Ag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760760"/>
    <w:multiLevelType w:val="hybridMultilevel"/>
    <w:tmpl w:val="72B05320"/>
    <w:lvl w:ilvl="0" w:tplc="FFFFFFFF">
      <w:start w:val="1"/>
      <w:numFmt w:val="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color w:val="358189" w:themeColor="accent2"/>
        <w:spacing w:val="0"/>
        <w:w w:val="100"/>
        <w:sz w:val="24"/>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DB47195"/>
    <w:multiLevelType w:val="hybridMultilevel"/>
    <w:tmpl w:val="53D46D96"/>
    <w:lvl w:ilvl="0" w:tplc="0C090003">
      <w:start w:val="1"/>
      <w:numFmt w:val="bullet"/>
      <w:lvlText w:val="o"/>
      <w:lvlJc w:val="left"/>
      <w:pPr>
        <w:ind w:left="360" w:hanging="360"/>
      </w:pPr>
      <w:rPr>
        <w:rFonts w:ascii="Courier New" w:hAnsi="Courier New" w:cs="Courier New" w:hint="default"/>
        <w:color w:val="358189" w:themeColor="accent2"/>
        <w:spacing w:val="0"/>
        <w:w w:val="100"/>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92E75C8"/>
    <w:multiLevelType w:val="hybridMultilevel"/>
    <w:tmpl w:val="05421524"/>
    <w:lvl w:ilvl="0" w:tplc="0C090003">
      <w:start w:val="1"/>
      <w:numFmt w:val="bullet"/>
      <w:lvlText w:val="o"/>
      <w:lvlJc w:val="left"/>
      <w:pPr>
        <w:ind w:left="360" w:hanging="360"/>
      </w:pPr>
      <w:rPr>
        <w:rFonts w:ascii="Courier New" w:hAnsi="Courier New" w:cs="Courier New" w:hint="default"/>
        <w:color w:val="358189" w:themeColor="accent2"/>
        <w:spacing w:val="0"/>
        <w:w w:val="100"/>
        <w:sz w:val="24"/>
      </w:rPr>
    </w:lvl>
    <w:lvl w:ilvl="1" w:tplc="0C090003">
      <w:start w:val="1"/>
      <w:numFmt w:val="bullet"/>
      <w:lvlText w:val="o"/>
      <w:lvlJc w:val="left"/>
      <w:pPr>
        <w:ind w:left="1353" w:hanging="360"/>
      </w:pPr>
      <w:rPr>
        <w:rFonts w:ascii="Courier New" w:hAnsi="Courier New" w:cs="Courier New" w:hint="default"/>
        <w:color w:val="358189" w:themeColor="accent2"/>
        <w:spacing w:val="0"/>
        <w:w w:val="100"/>
        <w:sz w:val="24"/>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1437C7"/>
    <w:multiLevelType w:val="hybridMultilevel"/>
    <w:tmpl w:val="522013CA"/>
    <w:lvl w:ilvl="0" w:tplc="0C090003">
      <w:start w:val="1"/>
      <w:numFmt w:val="bullet"/>
      <w:lvlText w:val="o"/>
      <w:lvlJc w:val="left"/>
      <w:pPr>
        <w:ind w:left="-360" w:hanging="360"/>
      </w:pPr>
      <w:rPr>
        <w:rFonts w:ascii="Courier New" w:hAnsi="Courier New" w:cs="Courier New" w:hint="default"/>
        <w:color w:val="358189" w:themeColor="accent2"/>
        <w:spacing w:val="0"/>
        <w:w w:val="100"/>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91416BF"/>
    <w:multiLevelType w:val="hybridMultilevel"/>
    <w:tmpl w:val="E1425E92"/>
    <w:lvl w:ilvl="0" w:tplc="901CF666">
      <w:start w:val="1"/>
      <w:numFmt w:val="bullet"/>
      <w:lvlText w:val="o"/>
      <w:lvlJc w:val="left"/>
      <w:pPr>
        <w:ind w:left="1080" w:hanging="360"/>
      </w:pPr>
      <w:rPr>
        <w:rFonts w:ascii="Courier New" w:hAnsi="Courier New" w:hint="default"/>
      </w:rPr>
    </w:lvl>
    <w:lvl w:ilvl="1" w:tplc="5B5AFDF4">
      <w:start w:val="1"/>
      <w:numFmt w:val="bullet"/>
      <w:lvlText w:val="o"/>
      <w:lvlJc w:val="left"/>
      <w:pPr>
        <w:ind w:left="1800" w:hanging="360"/>
      </w:pPr>
      <w:rPr>
        <w:rFonts w:ascii="Courier New" w:hAnsi="Courier New" w:hint="default"/>
      </w:rPr>
    </w:lvl>
    <w:lvl w:ilvl="2" w:tplc="23641740">
      <w:start w:val="1"/>
      <w:numFmt w:val="bullet"/>
      <w:lvlText w:val=""/>
      <w:lvlJc w:val="left"/>
      <w:pPr>
        <w:ind w:left="2520" w:hanging="360"/>
      </w:pPr>
      <w:rPr>
        <w:rFonts w:ascii="Wingdings" w:hAnsi="Wingdings" w:hint="default"/>
      </w:rPr>
    </w:lvl>
    <w:lvl w:ilvl="3" w:tplc="78C6E0EA">
      <w:start w:val="1"/>
      <w:numFmt w:val="bullet"/>
      <w:lvlText w:val=""/>
      <w:lvlJc w:val="left"/>
      <w:pPr>
        <w:ind w:left="3240" w:hanging="360"/>
      </w:pPr>
      <w:rPr>
        <w:rFonts w:ascii="Symbol" w:hAnsi="Symbol" w:hint="default"/>
      </w:rPr>
    </w:lvl>
    <w:lvl w:ilvl="4" w:tplc="F5F09E14">
      <w:start w:val="1"/>
      <w:numFmt w:val="bullet"/>
      <w:lvlText w:val="o"/>
      <w:lvlJc w:val="left"/>
      <w:pPr>
        <w:ind w:left="3960" w:hanging="360"/>
      </w:pPr>
      <w:rPr>
        <w:rFonts w:ascii="Courier New" w:hAnsi="Courier New" w:hint="default"/>
      </w:rPr>
    </w:lvl>
    <w:lvl w:ilvl="5" w:tplc="CF8E0A9C">
      <w:start w:val="1"/>
      <w:numFmt w:val="bullet"/>
      <w:lvlText w:val=""/>
      <w:lvlJc w:val="left"/>
      <w:pPr>
        <w:ind w:left="4680" w:hanging="360"/>
      </w:pPr>
      <w:rPr>
        <w:rFonts w:ascii="Wingdings" w:hAnsi="Wingdings" w:hint="default"/>
      </w:rPr>
    </w:lvl>
    <w:lvl w:ilvl="6" w:tplc="5AA01D50">
      <w:start w:val="1"/>
      <w:numFmt w:val="bullet"/>
      <w:lvlText w:val=""/>
      <w:lvlJc w:val="left"/>
      <w:pPr>
        <w:ind w:left="5400" w:hanging="360"/>
      </w:pPr>
      <w:rPr>
        <w:rFonts w:ascii="Symbol" w:hAnsi="Symbol" w:hint="default"/>
      </w:rPr>
    </w:lvl>
    <w:lvl w:ilvl="7" w:tplc="F9387BC0">
      <w:start w:val="1"/>
      <w:numFmt w:val="bullet"/>
      <w:lvlText w:val="o"/>
      <w:lvlJc w:val="left"/>
      <w:pPr>
        <w:ind w:left="6120" w:hanging="360"/>
      </w:pPr>
      <w:rPr>
        <w:rFonts w:ascii="Courier New" w:hAnsi="Courier New" w:hint="default"/>
      </w:rPr>
    </w:lvl>
    <w:lvl w:ilvl="8" w:tplc="D2FA391A">
      <w:start w:val="1"/>
      <w:numFmt w:val="bullet"/>
      <w:lvlText w:val=""/>
      <w:lvlJc w:val="left"/>
      <w:pPr>
        <w:ind w:left="6840" w:hanging="360"/>
      </w:pPr>
      <w:rPr>
        <w:rFonts w:ascii="Wingdings" w:hAnsi="Wingdings" w:hint="default"/>
      </w:r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52684449">
    <w:abstractNumId w:val="25"/>
  </w:num>
  <w:num w:numId="2" w16cid:durableId="1144784398">
    <w:abstractNumId w:val="7"/>
  </w:num>
  <w:num w:numId="3" w16cid:durableId="320935821">
    <w:abstractNumId w:val="20"/>
  </w:num>
  <w:num w:numId="4" w16cid:durableId="1161390217">
    <w:abstractNumId w:val="23"/>
  </w:num>
  <w:num w:numId="5" w16cid:durableId="1616522112">
    <w:abstractNumId w:val="8"/>
  </w:num>
  <w:num w:numId="6" w16cid:durableId="1326863177">
    <w:abstractNumId w:val="8"/>
    <w:lvlOverride w:ilvl="0">
      <w:startOverride w:val="1"/>
    </w:lvlOverride>
  </w:num>
  <w:num w:numId="7" w16cid:durableId="312683612">
    <w:abstractNumId w:val="10"/>
  </w:num>
  <w:num w:numId="8" w16cid:durableId="816721464">
    <w:abstractNumId w:val="18"/>
  </w:num>
  <w:num w:numId="9" w16cid:durableId="565603559">
    <w:abstractNumId w:val="22"/>
  </w:num>
  <w:num w:numId="10" w16cid:durableId="16275133">
    <w:abstractNumId w:val="5"/>
  </w:num>
  <w:num w:numId="11" w16cid:durableId="1845627467">
    <w:abstractNumId w:val="4"/>
  </w:num>
  <w:num w:numId="12" w16cid:durableId="612246186">
    <w:abstractNumId w:val="3"/>
  </w:num>
  <w:num w:numId="13" w16cid:durableId="1843860544">
    <w:abstractNumId w:val="2"/>
  </w:num>
  <w:num w:numId="14" w16cid:durableId="1116094120">
    <w:abstractNumId w:val="6"/>
  </w:num>
  <w:num w:numId="15" w16cid:durableId="230390797">
    <w:abstractNumId w:val="1"/>
  </w:num>
  <w:num w:numId="16" w16cid:durableId="1115446494">
    <w:abstractNumId w:val="0"/>
  </w:num>
  <w:num w:numId="17" w16cid:durableId="2086369406">
    <w:abstractNumId w:val="26"/>
  </w:num>
  <w:num w:numId="18" w16cid:durableId="2113471318">
    <w:abstractNumId w:val="12"/>
  </w:num>
  <w:num w:numId="19" w16cid:durableId="828592903">
    <w:abstractNumId w:val="14"/>
  </w:num>
  <w:num w:numId="20" w16cid:durableId="1273391997">
    <w:abstractNumId w:val="16"/>
  </w:num>
  <w:num w:numId="21" w16cid:durableId="2041469188">
    <w:abstractNumId w:val="12"/>
  </w:num>
  <w:num w:numId="22" w16cid:durableId="120997448">
    <w:abstractNumId w:val="16"/>
  </w:num>
  <w:num w:numId="23" w16cid:durableId="1088427743">
    <w:abstractNumId w:val="26"/>
  </w:num>
  <w:num w:numId="24" w16cid:durableId="111368400">
    <w:abstractNumId w:val="20"/>
  </w:num>
  <w:num w:numId="25" w16cid:durableId="815339056">
    <w:abstractNumId w:val="23"/>
  </w:num>
  <w:num w:numId="26" w16cid:durableId="743180995">
    <w:abstractNumId w:val="8"/>
  </w:num>
  <w:num w:numId="27" w16cid:durableId="320358050">
    <w:abstractNumId w:val="19"/>
  </w:num>
  <w:num w:numId="28" w16cid:durableId="508569404">
    <w:abstractNumId w:val="13"/>
  </w:num>
  <w:num w:numId="29" w16cid:durableId="1416364898">
    <w:abstractNumId w:val="15"/>
  </w:num>
  <w:num w:numId="30" w16cid:durableId="100344043">
    <w:abstractNumId w:val="11"/>
  </w:num>
  <w:num w:numId="31" w16cid:durableId="1575821124">
    <w:abstractNumId w:val="13"/>
  </w:num>
  <w:num w:numId="32" w16cid:durableId="426118479">
    <w:abstractNumId w:val="24"/>
  </w:num>
  <w:num w:numId="33" w16cid:durableId="245110976">
    <w:abstractNumId w:val="9"/>
  </w:num>
  <w:num w:numId="34" w16cid:durableId="1022702993">
    <w:abstractNumId w:val="17"/>
  </w:num>
  <w:num w:numId="35" w16cid:durableId="13613959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5DB3"/>
    <w:rsid w:val="000063AE"/>
    <w:rsid w:val="00007FD8"/>
    <w:rsid w:val="000117F8"/>
    <w:rsid w:val="0001460F"/>
    <w:rsid w:val="00020062"/>
    <w:rsid w:val="00020555"/>
    <w:rsid w:val="00022629"/>
    <w:rsid w:val="000233A9"/>
    <w:rsid w:val="00024DFE"/>
    <w:rsid w:val="00026139"/>
    <w:rsid w:val="00027601"/>
    <w:rsid w:val="00030E84"/>
    <w:rsid w:val="00033321"/>
    <w:rsid w:val="000338E5"/>
    <w:rsid w:val="00033ECC"/>
    <w:rsid w:val="0003422F"/>
    <w:rsid w:val="0003443A"/>
    <w:rsid w:val="0004489E"/>
    <w:rsid w:val="00046FF0"/>
    <w:rsid w:val="00050176"/>
    <w:rsid w:val="00050342"/>
    <w:rsid w:val="00051F6D"/>
    <w:rsid w:val="00054782"/>
    <w:rsid w:val="00056A81"/>
    <w:rsid w:val="00064168"/>
    <w:rsid w:val="00067456"/>
    <w:rsid w:val="00071506"/>
    <w:rsid w:val="0007154F"/>
    <w:rsid w:val="00073279"/>
    <w:rsid w:val="00080BAC"/>
    <w:rsid w:val="00081AB1"/>
    <w:rsid w:val="00086573"/>
    <w:rsid w:val="00090316"/>
    <w:rsid w:val="00093981"/>
    <w:rsid w:val="000B067A"/>
    <w:rsid w:val="000B1540"/>
    <w:rsid w:val="000B1E53"/>
    <w:rsid w:val="000B2849"/>
    <w:rsid w:val="000B33FD"/>
    <w:rsid w:val="000B4968"/>
    <w:rsid w:val="000B4ABA"/>
    <w:rsid w:val="000B7029"/>
    <w:rsid w:val="000B704B"/>
    <w:rsid w:val="000C0475"/>
    <w:rsid w:val="000C4B16"/>
    <w:rsid w:val="000C4B74"/>
    <w:rsid w:val="000C50C3"/>
    <w:rsid w:val="000C5E14"/>
    <w:rsid w:val="000C7B0B"/>
    <w:rsid w:val="000D21F6"/>
    <w:rsid w:val="000D3EEC"/>
    <w:rsid w:val="000D4500"/>
    <w:rsid w:val="000D50B9"/>
    <w:rsid w:val="000D7AEA"/>
    <w:rsid w:val="000E03E0"/>
    <w:rsid w:val="000E2C66"/>
    <w:rsid w:val="000E6CB8"/>
    <w:rsid w:val="000F123C"/>
    <w:rsid w:val="000F2FED"/>
    <w:rsid w:val="000F70FC"/>
    <w:rsid w:val="0010616D"/>
    <w:rsid w:val="00110478"/>
    <w:rsid w:val="00111901"/>
    <w:rsid w:val="00114056"/>
    <w:rsid w:val="00114A3C"/>
    <w:rsid w:val="0011711B"/>
    <w:rsid w:val="00117F8A"/>
    <w:rsid w:val="001210F8"/>
    <w:rsid w:val="00121B9B"/>
    <w:rsid w:val="00122ADC"/>
    <w:rsid w:val="001245EF"/>
    <w:rsid w:val="00130F59"/>
    <w:rsid w:val="00131E1F"/>
    <w:rsid w:val="00133EC0"/>
    <w:rsid w:val="00141CE5"/>
    <w:rsid w:val="001427CD"/>
    <w:rsid w:val="00143AFF"/>
    <w:rsid w:val="00144908"/>
    <w:rsid w:val="00156D96"/>
    <w:rsid w:val="001571C7"/>
    <w:rsid w:val="00161094"/>
    <w:rsid w:val="00162AC6"/>
    <w:rsid w:val="00164F14"/>
    <w:rsid w:val="001712A1"/>
    <w:rsid w:val="001729C7"/>
    <w:rsid w:val="00174DD7"/>
    <w:rsid w:val="0017665C"/>
    <w:rsid w:val="0017709E"/>
    <w:rsid w:val="00177621"/>
    <w:rsid w:val="00177AD2"/>
    <w:rsid w:val="001815A8"/>
    <w:rsid w:val="001840FA"/>
    <w:rsid w:val="001873B1"/>
    <w:rsid w:val="00190079"/>
    <w:rsid w:val="0019037F"/>
    <w:rsid w:val="0019622E"/>
    <w:rsid w:val="001966A7"/>
    <w:rsid w:val="0019761F"/>
    <w:rsid w:val="001A2646"/>
    <w:rsid w:val="001A4627"/>
    <w:rsid w:val="001A4979"/>
    <w:rsid w:val="001B15D3"/>
    <w:rsid w:val="001B3443"/>
    <w:rsid w:val="001B3F7B"/>
    <w:rsid w:val="001C0326"/>
    <w:rsid w:val="001C192F"/>
    <w:rsid w:val="001C3C42"/>
    <w:rsid w:val="001D1BE1"/>
    <w:rsid w:val="001D7869"/>
    <w:rsid w:val="001E0441"/>
    <w:rsid w:val="001E58A6"/>
    <w:rsid w:val="001F1EBE"/>
    <w:rsid w:val="001F38B4"/>
    <w:rsid w:val="001F3920"/>
    <w:rsid w:val="001F76C6"/>
    <w:rsid w:val="002026CD"/>
    <w:rsid w:val="002033FC"/>
    <w:rsid w:val="002044BB"/>
    <w:rsid w:val="00205C55"/>
    <w:rsid w:val="00210B09"/>
    <w:rsid w:val="00210C9E"/>
    <w:rsid w:val="00211840"/>
    <w:rsid w:val="00213B3E"/>
    <w:rsid w:val="0021647C"/>
    <w:rsid w:val="002174BD"/>
    <w:rsid w:val="00220E5F"/>
    <w:rsid w:val="002212B5"/>
    <w:rsid w:val="0022239F"/>
    <w:rsid w:val="00222721"/>
    <w:rsid w:val="00226668"/>
    <w:rsid w:val="00233809"/>
    <w:rsid w:val="00237A42"/>
    <w:rsid w:val="00240046"/>
    <w:rsid w:val="00241F32"/>
    <w:rsid w:val="00242D68"/>
    <w:rsid w:val="0024387C"/>
    <w:rsid w:val="0024650C"/>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753F8"/>
    <w:rsid w:val="00276CB4"/>
    <w:rsid w:val="002803AD"/>
    <w:rsid w:val="00281B16"/>
    <w:rsid w:val="00282052"/>
    <w:rsid w:val="00282EAC"/>
    <w:rsid w:val="002831A3"/>
    <w:rsid w:val="0028519E"/>
    <w:rsid w:val="002856A5"/>
    <w:rsid w:val="00286162"/>
    <w:rsid w:val="0028720E"/>
    <w:rsid w:val="002872ED"/>
    <w:rsid w:val="002905C2"/>
    <w:rsid w:val="00292535"/>
    <w:rsid w:val="00295AF2"/>
    <w:rsid w:val="00295C91"/>
    <w:rsid w:val="00297151"/>
    <w:rsid w:val="002A5EA9"/>
    <w:rsid w:val="002B20E6"/>
    <w:rsid w:val="002B42A3"/>
    <w:rsid w:val="002C0CDD"/>
    <w:rsid w:val="002C0DAC"/>
    <w:rsid w:val="002C38C4"/>
    <w:rsid w:val="002C46AA"/>
    <w:rsid w:val="002C4F82"/>
    <w:rsid w:val="002C7E98"/>
    <w:rsid w:val="002D6323"/>
    <w:rsid w:val="002D65A2"/>
    <w:rsid w:val="002E1A1D"/>
    <w:rsid w:val="002E4081"/>
    <w:rsid w:val="002E5B78"/>
    <w:rsid w:val="002E7E78"/>
    <w:rsid w:val="002F1041"/>
    <w:rsid w:val="002F3AE3"/>
    <w:rsid w:val="002F7F93"/>
    <w:rsid w:val="003033E5"/>
    <w:rsid w:val="0030464B"/>
    <w:rsid w:val="00306B46"/>
    <w:rsid w:val="0030786C"/>
    <w:rsid w:val="00312E35"/>
    <w:rsid w:val="00317B29"/>
    <w:rsid w:val="00321680"/>
    <w:rsid w:val="003233DE"/>
    <w:rsid w:val="0032466B"/>
    <w:rsid w:val="003330EB"/>
    <w:rsid w:val="00333C73"/>
    <w:rsid w:val="00340CAC"/>
    <w:rsid w:val="003415FD"/>
    <w:rsid w:val="003429F0"/>
    <w:rsid w:val="00345A82"/>
    <w:rsid w:val="0035097A"/>
    <w:rsid w:val="00353C8E"/>
    <w:rsid w:val="003540A4"/>
    <w:rsid w:val="00357BCC"/>
    <w:rsid w:val="00360E4E"/>
    <w:rsid w:val="003639AD"/>
    <w:rsid w:val="00365256"/>
    <w:rsid w:val="0036685A"/>
    <w:rsid w:val="00370AAA"/>
    <w:rsid w:val="00375F77"/>
    <w:rsid w:val="00376F31"/>
    <w:rsid w:val="00380101"/>
    <w:rsid w:val="00381BBE"/>
    <w:rsid w:val="00382903"/>
    <w:rsid w:val="003832F8"/>
    <w:rsid w:val="003846FF"/>
    <w:rsid w:val="003857D4"/>
    <w:rsid w:val="00385AD4"/>
    <w:rsid w:val="00385C01"/>
    <w:rsid w:val="003875BC"/>
    <w:rsid w:val="00387924"/>
    <w:rsid w:val="0039384D"/>
    <w:rsid w:val="00395C23"/>
    <w:rsid w:val="0039785A"/>
    <w:rsid w:val="003A2E4F"/>
    <w:rsid w:val="003A4438"/>
    <w:rsid w:val="003A4DA9"/>
    <w:rsid w:val="003A4E58"/>
    <w:rsid w:val="003A5013"/>
    <w:rsid w:val="003A5078"/>
    <w:rsid w:val="003A5F2E"/>
    <w:rsid w:val="003A61F5"/>
    <w:rsid w:val="003A62DD"/>
    <w:rsid w:val="003A775A"/>
    <w:rsid w:val="003B213A"/>
    <w:rsid w:val="003B2E5D"/>
    <w:rsid w:val="003B43AD"/>
    <w:rsid w:val="003B77E5"/>
    <w:rsid w:val="003C0FEC"/>
    <w:rsid w:val="003C2AC8"/>
    <w:rsid w:val="003C77F3"/>
    <w:rsid w:val="003D033A"/>
    <w:rsid w:val="003D17F9"/>
    <w:rsid w:val="003D2D88"/>
    <w:rsid w:val="003D419D"/>
    <w:rsid w:val="003D41EA"/>
    <w:rsid w:val="003D4850"/>
    <w:rsid w:val="003D4A85"/>
    <w:rsid w:val="003D535A"/>
    <w:rsid w:val="003D6013"/>
    <w:rsid w:val="003D6428"/>
    <w:rsid w:val="003D7B09"/>
    <w:rsid w:val="003E5265"/>
    <w:rsid w:val="003F0955"/>
    <w:rsid w:val="003F0F91"/>
    <w:rsid w:val="003F5F4D"/>
    <w:rsid w:val="003F646F"/>
    <w:rsid w:val="00400F00"/>
    <w:rsid w:val="00403791"/>
    <w:rsid w:val="004047FA"/>
    <w:rsid w:val="00404F8B"/>
    <w:rsid w:val="00405256"/>
    <w:rsid w:val="00405380"/>
    <w:rsid w:val="00405621"/>
    <w:rsid w:val="00405ADD"/>
    <w:rsid w:val="00406662"/>
    <w:rsid w:val="004069D5"/>
    <w:rsid w:val="00407F26"/>
    <w:rsid w:val="00410031"/>
    <w:rsid w:val="00415C81"/>
    <w:rsid w:val="00416030"/>
    <w:rsid w:val="00420E72"/>
    <w:rsid w:val="00432378"/>
    <w:rsid w:val="00433951"/>
    <w:rsid w:val="00435780"/>
    <w:rsid w:val="00440D65"/>
    <w:rsid w:val="00442EFF"/>
    <w:rsid w:val="004435E6"/>
    <w:rsid w:val="0044795E"/>
    <w:rsid w:val="00447E31"/>
    <w:rsid w:val="0045315A"/>
    <w:rsid w:val="00453923"/>
    <w:rsid w:val="00454B9B"/>
    <w:rsid w:val="00455D6E"/>
    <w:rsid w:val="00457858"/>
    <w:rsid w:val="00460B0B"/>
    <w:rsid w:val="00461023"/>
    <w:rsid w:val="00462FAC"/>
    <w:rsid w:val="004644EA"/>
    <w:rsid w:val="00464631"/>
    <w:rsid w:val="00464B79"/>
    <w:rsid w:val="00466EF7"/>
    <w:rsid w:val="00467BBF"/>
    <w:rsid w:val="00470A41"/>
    <w:rsid w:val="004777EB"/>
    <w:rsid w:val="0048593C"/>
    <w:rsid w:val="004867E2"/>
    <w:rsid w:val="00490FFF"/>
    <w:rsid w:val="0049246A"/>
    <w:rsid w:val="004929A9"/>
    <w:rsid w:val="004977D2"/>
    <w:rsid w:val="00497933"/>
    <w:rsid w:val="004A78D9"/>
    <w:rsid w:val="004C0E44"/>
    <w:rsid w:val="004C1BCD"/>
    <w:rsid w:val="004C3F78"/>
    <w:rsid w:val="004C61D9"/>
    <w:rsid w:val="004C6BCF"/>
    <w:rsid w:val="004D3630"/>
    <w:rsid w:val="004D58BF"/>
    <w:rsid w:val="004D5E3F"/>
    <w:rsid w:val="004E0453"/>
    <w:rsid w:val="004E293A"/>
    <w:rsid w:val="004E4335"/>
    <w:rsid w:val="004E5226"/>
    <w:rsid w:val="004F13EE"/>
    <w:rsid w:val="004F2022"/>
    <w:rsid w:val="004F7C05"/>
    <w:rsid w:val="00501C94"/>
    <w:rsid w:val="00504B0A"/>
    <w:rsid w:val="00506432"/>
    <w:rsid w:val="00506E82"/>
    <w:rsid w:val="0051011C"/>
    <w:rsid w:val="0051754F"/>
    <w:rsid w:val="0052051D"/>
    <w:rsid w:val="00525479"/>
    <w:rsid w:val="00531E87"/>
    <w:rsid w:val="00534A0B"/>
    <w:rsid w:val="00534FC0"/>
    <w:rsid w:val="00545EE6"/>
    <w:rsid w:val="005550E7"/>
    <w:rsid w:val="005564FB"/>
    <w:rsid w:val="0055706A"/>
    <w:rsid w:val="005572C7"/>
    <w:rsid w:val="005617DE"/>
    <w:rsid w:val="00564721"/>
    <w:rsid w:val="005650ED"/>
    <w:rsid w:val="00566B81"/>
    <w:rsid w:val="00575754"/>
    <w:rsid w:val="0058037A"/>
    <w:rsid w:val="0058169C"/>
    <w:rsid w:val="00581FBA"/>
    <w:rsid w:val="00584399"/>
    <w:rsid w:val="005858A4"/>
    <w:rsid w:val="0058652A"/>
    <w:rsid w:val="00591E20"/>
    <w:rsid w:val="005920E7"/>
    <w:rsid w:val="005933C1"/>
    <w:rsid w:val="00595408"/>
    <w:rsid w:val="00595A0B"/>
    <w:rsid w:val="00595E84"/>
    <w:rsid w:val="00596D2F"/>
    <w:rsid w:val="005A0C59"/>
    <w:rsid w:val="005A48EB"/>
    <w:rsid w:val="005A6CFB"/>
    <w:rsid w:val="005B05E6"/>
    <w:rsid w:val="005C40D3"/>
    <w:rsid w:val="005C4B3E"/>
    <w:rsid w:val="005C5850"/>
    <w:rsid w:val="005C5AEB"/>
    <w:rsid w:val="005C7C20"/>
    <w:rsid w:val="005D5F4E"/>
    <w:rsid w:val="005E0A3F"/>
    <w:rsid w:val="005E1AF9"/>
    <w:rsid w:val="005E2D76"/>
    <w:rsid w:val="005E4DE9"/>
    <w:rsid w:val="005E4E39"/>
    <w:rsid w:val="005E659D"/>
    <w:rsid w:val="005E6883"/>
    <w:rsid w:val="005E772F"/>
    <w:rsid w:val="005F05B9"/>
    <w:rsid w:val="005F1177"/>
    <w:rsid w:val="005F4ECA"/>
    <w:rsid w:val="005F71B0"/>
    <w:rsid w:val="005F767E"/>
    <w:rsid w:val="006041BE"/>
    <w:rsid w:val="006043C7"/>
    <w:rsid w:val="006150AE"/>
    <w:rsid w:val="0061744A"/>
    <w:rsid w:val="006238A4"/>
    <w:rsid w:val="00624B52"/>
    <w:rsid w:val="00630794"/>
    <w:rsid w:val="00631DF4"/>
    <w:rsid w:val="00634175"/>
    <w:rsid w:val="0063574E"/>
    <w:rsid w:val="0064073C"/>
    <w:rsid w:val="006408AC"/>
    <w:rsid w:val="00642F20"/>
    <w:rsid w:val="00647E39"/>
    <w:rsid w:val="006511B6"/>
    <w:rsid w:val="00657FF8"/>
    <w:rsid w:val="0066336D"/>
    <w:rsid w:val="0066598A"/>
    <w:rsid w:val="00665AC2"/>
    <w:rsid w:val="00670D99"/>
    <w:rsid w:val="00670E2B"/>
    <w:rsid w:val="006734BB"/>
    <w:rsid w:val="0067697A"/>
    <w:rsid w:val="00680798"/>
    <w:rsid w:val="00682057"/>
    <w:rsid w:val="006821EB"/>
    <w:rsid w:val="006827BC"/>
    <w:rsid w:val="00685D75"/>
    <w:rsid w:val="00693A51"/>
    <w:rsid w:val="0069432E"/>
    <w:rsid w:val="006A1FC0"/>
    <w:rsid w:val="006B2286"/>
    <w:rsid w:val="006B56BB"/>
    <w:rsid w:val="006C073A"/>
    <w:rsid w:val="006C085B"/>
    <w:rsid w:val="006C0AE2"/>
    <w:rsid w:val="006C6017"/>
    <w:rsid w:val="006C77A8"/>
    <w:rsid w:val="006D22A7"/>
    <w:rsid w:val="006D4098"/>
    <w:rsid w:val="006D67F4"/>
    <w:rsid w:val="006D7681"/>
    <w:rsid w:val="006D7B2E"/>
    <w:rsid w:val="006E02EA"/>
    <w:rsid w:val="006E0968"/>
    <w:rsid w:val="006E2AF6"/>
    <w:rsid w:val="006F1107"/>
    <w:rsid w:val="006F23F7"/>
    <w:rsid w:val="006F302F"/>
    <w:rsid w:val="006F5073"/>
    <w:rsid w:val="0070087E"/>
    <w:rsid w:val="00701275"/>
    <w:rsid w:val="0070291F"/>
    <w:rsid w:val="00707F56"/>
    <w:rsid w:val="00710D95"/>
    <w:rsid w:val="00713558"/>
    <w:rsid w:val="00717456"/>
    <w:rsid w:val="00720D08"/>
    <w:rsid w:val="007263B9"/>
    <w:rsid w:val="007334F8"/>
    <w:rsid w:val="007339CD"/>
    <w:rsid w:val="007359D8"/>
    <w:rsid w:val="007362D4"/>
    <w:rsid w:val="007423F2"/>
    <w:rsid w:val="00744B30"/>
    <w:rsid w:val="007458E6"/>
    <w:rsid w:val="00746C16"/>
    <w:rsid w:val="00753063"/>
    <w:rsid w:val="0075504B"/>
    <w:rsid w:val="00756B48"/>
    <w:rsid w:val="00756BF7"/>
    <w:rsid w:val="00763DAD"/>
    <w:rsid w:val="00765A0D"/>
    <w:rsid w:val="0076672A"/>
    <w:rsid w:val="007719DA"/>
    <w:rsid w:val="0077324C"/>
    <w:rsid w:val="00775DEC"/>
    <w:rsid w:val="00775E45"/>
    <w:rsid w:val="00776B8B"/>
    <w:rsid w:val="00776E74"/>
    <w:rsid w:val="007806FC"/>
    <w:rsid w:val="00785169"/>
    <w:rsid w:val="007954AB"/>
    <w:rsid w:val="007A14C5"/>
    <w:rsid w:val="007A23CC"/>
    <w:rsid w:val="007A4A10"/>
    <w:rsid w:val="007A6E54"/>
    <w:rsid w:val="007B1750"/>
    <w:rsid w:val="007B1760"/>
    <w:rsid w:val="007C1FDC"/>
    <w:rsid w:val="007C31DD"/>
    <w:rsid w:val="007C32D9"/>
    <w:rsid w:val="007C343D"/>
    <w:rsid w:val="007C3AEA"/>
    <w:rsid w:val="007C5961"/>
    <w:rsid w:val="007C6D9C"/>
    <w:rsid w:val="007C7DDB"/>
    <w:rsid w:val="007D044C"/>
    <w:rsid w:val="007D2A43"/>
    <w:rsid w:val="007D2CC7"/>
    <w:rsid w:val="007D38D7"/>
    <w:rsid w:val="007D673D"/>
    <w:rsid w:val="007E0068"/>
    <w:rsid w:val="007E0FB8"/>
    <w:rsid w:val="007E4D09"/>
    <w:rsid w:val="007E58A5"/>
    <w:rsid w:val="007E5BA9"/>
    <w:rsid w:val="007E5FBB"/>
    <w:rsid w:val="007E61D1"/>
    <w:rsid w:val="007F2220"/>
    <w:rsid w:val="007F4B3E"/>
    <w:rsid w:val="00805D0F"/>
    <w:rsid w:val="00805E34"/>
    <w:rsid w:val="008077C4"/>
    <w:rsid w:val="008127AF"/>
    <w:rsid w:val="00812B46"/>
    <w:rsid w:val="00815700"/>
    <w:rsid w:val="0082102F"/>
    <w:rsid w:val="00821974"/>
    <w:rsid w:val="0082246B"/>
    <w:rsid w:val="0082420F"/>
    <w:rsid w:val="008250E6"/>
    <w:rsid w:val="008264EB"/>
    <w:rsid w:val="00826B8F"/>
    <w:rsid w:val="00831E8A"/>
    <w:rsid w:val="008351F9"/>
    <w:rsid w:val="0083595B"/>
    <w:rsid w:val="00835C76"/>
    <w:rsid w:val="008376E2"/>
    <w:rsid w:val="00843049"/>
    <w:rsid w:val="008437CA"/>
    <w:rsid w:val="00843B02"/>
    <w:rsid w:val="0085209B"/>
    <w:rsid w:val="00856B66"/>
    <w:rsid w:val="00857851"/>
    <w:rsid w:val="008601AC"/>
    <w:rsid w:val="00861A5F"/>
    <w:rsid w:val="008644AD"/>
    <w:rsid w:val="00865735"/>
    <w:rsid w:val="00865DDB"/>
    <w:rsid w:val="00867538"/>
    <w:rsid w:val="00872339"/>
    <w:rsid w:val="00873D90"/>
    <w:rsid w:val="00873FC8"/>
    <w:rsid w:val="008741DA"/>
    <w:rsid w:val="0087585D"/>
    <w:rsid w:val="0087601E"/>
    <w:rsid w:val="00884C63"/>
    <w:rsid w:val="00885908"/>
    <w:rsid w:val="008864B7"/>
    <w:rsid w:val="00887CC8"/>
    <w:rsid w:val="0089677E"/>
    <w:rsid w:val="00897EF1"/>
    <w:rsid w:val="008A21D0"/>
    <w:rsid w:val="008A31A3"/>
    <w:rsid w:val="008A7438"/>
    <w:rsid w:val="008B1334"/>
    <w:rsid w:val="008B25C7"/>
    <w:rsid w:val="008B4326"/>
    <w:rsid w:val="008B70F7"/>
    <w:rsid w:val="008C0278"/>
    <w:rsid w:val="008C0FC9"/>
    <w:rsid w:val="008C1340"/>
    <w:rsid w:val="008C24E9"/>
    <w:rsid w:val="008C2B2F"/>
    <w:rsid w:val="008D0533"/>
    <w:rsid w:val="008D42CB"/>
    <w:rsid w:val="008D4860"/>
    <w:rsid w:val="008D48C9"/>
    <w:rsid w:val="008D6381"/>
    <w:rsid w:val="008E007D"/>
    <w:rsid w:val="008E04DC"/>
    <w:rsid w:val="008E0C77"/>
    <w:rsid w:val="008E625F"/>
    <w:rsid w:val="008E7E6E"/>
    <w:rsid w:val="008F123F"/>
    <w:rsid w:val="008F264D"/>
    <w:rsid w:val="0090349A"/>
    <w:rsid w:val="009040E9"/>
    <w:rsid w:val="00906A1C"/>
    <w:rsid w:val="009074E1"/>
    <w:rsid w:val="009112F7"/>
    <w:rsid w:val="009122AF"/>
    <w:rsid w:val="00912D54"/>
    <w:rsid w:val="0091389F"/>
    <w:rsid w:val="009208F7"/>
    <w:rsid w:val="00920EB4"/>
    <w:rsid w:val="00921649"/>
    <w:rsid w:val="00922517"/>
    <w:rsid w:val="00922722"/>
    <w:rsid w:val="009261E6"/>
    <w:rsid w:val="009268E1"/>
    <w:rsid w:val="009271EE"/>
    <w:rsid w:val="009312B8"/>
    <w:rsid w:val="0093226A"/>
    <w:rsid w:val="00933079"/>
    <w:rsid w:val="009344AE"/>
    <w:rsid w:val="009344DE"/>
    <w:rsid w:val="00945E7F"/>
    <w:rsid w:val="009518C7"/>
    <w:rsid w:val="009557C1"/>
    <w:rsid w:val="00960D6E"/>
    <w:rsid w:val="00963183"/>
    <w:rsid w:val="0096636B"/>
    <w:rsid w:val="0097185F"/>
    <w:rsid w:val="00974B59"/>
    <w:rsid w:val="009804D8"/>
    <w:rsid w:val="0098166B"/>
    <w:rsid w:val="0098340B"/>
    <w:rsid w:val="00986830"/>
    <w:rsid w:val="009924C3"/>
    <w:rsid w:val="00993102"/>
    <w:rsid w:val="00993DD5"/>
    <w:rsid w:val="009973F7"/>
    <w:rsid w:val="009A28FB"/>
    <w:rsid w:val="009B1570"/>
    <w:rsid w:val="009B1833"/>
    <w:rsid w:val="009B4E80"/>
    <w:rsid w:val="009C6F10"/>
    <w:rsid w:val="009C7017"/>
    <w:rsid w:val="009D148F"/>
    <w:rsid w:val="009D39E0"/>
    <w:rsid w:val="009D3D70"/>
    <w:rsid w:val="009E2E59"/>
    <w:rsid w:val="009E5DAD"/>
    <w:rsid w:val="009E6F7E"/>
    <w:rsid w:val="009E7A57"/>
    <w:rsid w:val="009F165E"/>
    <w:rsid w:val="009F4803"/>
    <w:rsid w:val="009F4F6A"/>
    <w:rsid w:val="009F5046"/>
    <w:rsid w:val="009F69F3"/>
    <w:rsid w:val="009F788F"/>
    <w:rsid w:val="00A02634"/>
    <w:rsid w:val="00A13EB5"/>
    <w:rsid w:val="00A14DBB"/>
    <w:rsid w:val="00A16E36"/>
    <w:rsid w:val="00A21D6D"/>
    <w:rsid w:val="00A23012"/>
    <w:rsid w:val="00A239D1"/>
    <w:rsid w:val="00A24961"/>
    <w:rsid w:val="00A24B10"/>
    <w:rsid w:val="00A277EF"/>
    <w:rsid w:val="00A30E9B"/>
    <w:rsid w:val="00A34BD0"/>
    <w:rsid w:val="00A4512D"/>
    <w:rsid w:val="00A50244"/>
    <w:rsid w:val="00A567B4"/>
    <w:rsid w:val="00A603CD"/>
    <w:rsid w:val="00A627D7"/>
    <w:rsid w:val="00A656C7"/>
    <w:rsid w:val="00A705AF"/>
    <w:rsid w:val="00A719F6"/>
    <w:rsid w:val="00A72454"/>
    <w:rsid w:val="00A75342"/>
    <w:rsid w:val="00A77696"/>
    <w:rsid w:val="00A80557"/>
    <w:rsid w:val="00A81D33"/>
    <w:rsid w:val="00A8341C"/>
    <w:rsid w:val="00A8695F"/>
    <w:rsid w:val="00A8755D"/>
    <w:rsid w:val="00A930AE"/>
    <w:rsid w:val="00A95CE0"/>
    <w:rsid w:val="00AA1A95"/>
    <w:rsid w:val="00AA1AD0"/>
    <w:rsid w:val="00AA2154"/>
    <w:rsid w:val="00AA260F"/>
    <w:rsid w:val="00AA4C3C"/>
    <w:rsid w:val="00AA5F6F"/>
    <w:rsid w:val="00AA7484"/>
    <w:rsid w:val="00AB0705"/>
    <w:rsid w:val="00AB1EE7"/>
    <w:rsid w:val="00AB2B2E"/>
    <w:rsid w:val="00AB3FDE"/>
    <w:rsid w:val="00AB4B37"/>
    <w:rsid w:val="00AB5762"/>
    <w:rsid w:val="00AC015F"/>
    <w:rsid w:val="00AC0810"/>
    <w:rsid w:val="00AC1435"/>
    <w:rsid w:val="00AC2679"/>
    <w:rsid w:val="00AC4432"/>
    <w:rsid w:val="00AC4BE4"/>
    <w:rsid w:val="00AC6513"/>
    <w:rsid w:val="00AC6E11"/>
    <w:rsid w:val="00AD05E6"/>
    <w:rsid w:val="00AD0D3F"/>
    <w:rsid w:val="00AD1A39"/>
    <w:rsid w:val="00AD38E2"/>
    <w:rsid w:val="00AD5F5D"/>
    <w:rsid w:val="00AD6A36"/>
    <w:rsid w:val="00AE1D7D"/>
    <w:rsid w:val="00AE262D"/>
    <w:rsid w:val="00AE2A8B"/>
    <w:rsid w:val="00AE3F64"/>
    <w:rsid w:val="00AE6A0F"/>
    <w:rsid w:val="00AF224B"/>
    <w:rsid w:val="00AF7386"/>
    <w:rsid w:val="00AF7466"/>
    <w:rsid w:val="00AF7934"/>
    <w:rsid w:val="00B00B81"/>
    <w:rsid w:val="00B04580"/>
    <w:rsid w:val="00B04B09"/>
    <w:rsid w:val="00B114DE"/>
    <w:rsid w:val="00B149A0"/>
    <w:rsid w:val="00B15FB0"/>
    <w:rsid w:val="00B16A51"/>
    <w:rsid w:val="00B27A99"/>
    <w:rsid w:val="00B32222"/>
    <w:rsid w:val="00B32567"/>
    <w:rsid w:val="00B32B02"/>
    <w:rsid w:val="00B3618D"/>
    <w:rsid w:val="00B36233"/>
    <w:rsid w:val="00B42851"/>
    <w:rsid w:val="00B42A64"/>
    <w:rsid w:val="00B42D06"/>
    <w:rsid w:val="00B45350"/>
    <w:rsid w:val="00B45AC7"/>
    <w:rsid w:val="00B47BED"/>
    <w:rsid w:val="00B5093A"/>
    <w:rsid w:val="00B5372F"/>
    <w:rsid w:val="00B53987"/>
    <w:rsid w:val="00B53C0F"/>
    <w:rsid w:val="00B61129"/>
    <w:rsid w:val="00B619D7"/>
    <w:rsid w:val="00B67E7F"/>
    <w:rsid w:val="00B7473C"/>
    <w:rsid w:val="00B76C9A"/>
    <w:rsid w:val="00B76DB3"/>
    <w:rsid w:val="00B839B2"/>
    <w:rsid w:val="00B873A0"/>
    <w:rsid w:val="00B91A82"/>
    <w:rsid w:val="00B91F01"/>
    <w:rsid w:val="00B94252"/>
    <w:rsid w:val="00B9715A"/>
    <w:rsid w:val="00BA14BE"/>
    <w:rsid w:val="00BA25D5"/>
    <w:rsid w:val="00BA2732"/>
    <w:rsid w:val="00BA293D"/>
    <w:rsid w:val="00BA49BC"/>
    <w:rsid w:val="00BA56B7"/>
    <w:rsid w:val="00BA7A1E"/>
    <w:rsid w:val="00BB2B6C"/>
    <w:rsid w:val="00BB2F6C"/>
    <w:rsid w:val="00BB3875"/>
    <w:rsid w:val="00BB5860"/>
    <w:rsid w:val="00BB6AAD"/>
    <w:rsid w:val="00BC190C"/>
    <w:rsid w:val="00BC2705"/>
    <w:rsid w:val="00BC4940"/>
    <w:rsid w:val="00BC4A19"/>
    <w:rsid w:val="00BC4C6A"/>
    <w:rsid w:val="00BC4E6D"/>
    <w:rsid w:val="00BC57CC"/>
    <w:rsid w:val="00BD0617"/>
    <w:rsid w:val="00BD0A9E"/>
    <w:rsid w:val="00BD1D77"/>
    <w:rsid w:val="00BD2D07"/>
    <w:rsid w:val="00BD2E9B"/>
    <w:rsid w:val="00BD4579"/>
    <w:rsid w:val="00BD50C6"/>
    <w:rsid w:val="00BD7FB2"/>
    <w:rsid w:val="00BE2F9D"/>
    <w:rsid w:val="00BE3ED5"/>
    <w:rsid w:val="00BE42C7"/>
    <w:rsid w:val="00BE7014"/>
    <w:rsid w:val="00BF6BB3"/>
    <w:rsid w:val="00C00930"/>
    <w:rsid w:val="00C00B81"/>
    <w:rsid w:val="00C02732"/>
    <w:rsid w:val="00C060AD"/>
    <w:rsid w:val="00C10D25"/>
    <w:rsid w:val="00C113BF"/>
    <w:rsid w:val="00C11D76"/>
    <w:rsid w:val="00C20510"/>
    <w:rsid w:val="00C2176E"/>
    <w:rsid w:val="00C23430"/>
    <w:rsid w:val="00C26E4C"/>
    <w:rsid w:val="00C276F4"/>
    <w:rsid w:val="00C27D67"/>
    <w:rsid w:val="00C37769"/>
    <w:rsid w:val="00C40A0E"/>
    <w:rsid w:val="00C435AF"/>
    <w:rsid w:val="00C4631F"/>
    <w:rsid w:val="00C47CDE"/>
    <w:rsid w:val="00C50E16"/>
    <w:rsid w:val="00C55258"/>
    <w:rsid w:val="00C55AEB"/>
    <w:rsid w:val="00C611DE"/>
    <w:rsid w:val="00C651A8"/>
    <w:rsid w:val="00C67701"/>
    <w:rsid w:val="00C702EB"/>
    <w:rsid w:val="00C71A8A"/>
    <w:rsid w:val="00C75FA3"/>
    <w:rsid w:val="00C805CA"/>
    <w:rsid w:val="00C81584"/>
    <w:rsid w:val="00C824A0"/>
    <w:rsid w:val="00C82EEB"/>
    <w:rsid w:val="00C837A7"/>
    <w:rsid w:val="00C837E2"/>
    <w:rsid w:val="00C971DC"/>
    <w:rsid w:val="00C976A4"/>
    <w:rsid w:val="00CA16B7"/>
    <w:rsid w:val="00CA62AE"/>
    <w:rsid w:val="00CA7D68"/>
    <w:rsid w:val="00CB03B8"/>
    <w:rsid w:val="00CB2D3D"/>
    <w:rsid w:val="00CB49DD"/>
    <w:rsid w:val="00CB5B1A"/>
    <w:rsid w:val="00CB7C8C"/>
    <w:rsid w:val="00CC220B"/>
    <w:rsid w:val="00CC5C43"/>
    <w:rsid w:val="00CC6DA2"/>
    <w:rsid w:val="00CC7903"/>
    <w:rsid w:val="00CD02AE"/>
    <w:rsid w:val="00CD0DCB"/>
    <w:rsid w:val="00CD21E2"/>
    <w:rsid w:val="00CD2A4F"/>
    <w:rsid w:val="00CD41E4"/>
    <w:rsid w:val="00CD4BB2"/>
    <w:rsid w:val="00CD7F1F"/>
    <w:rsid w:val="00CE03CA"/>
    <w:rsid w:val="00CE22F1"/>
    <w:rsid w:val="00CE50F2"/>
    <w:rsid w:val="00CE6502"/>
    <w:rsid w:val="00CF1633"/>
    <w:rsid w:val="00CF64B7"/>
    <w:rsid w:val="00CF7D3C"/>
    <w:rsid w:val="00D000FE"/>
    <w:rsid w:val="00D0027F"/>
    <w:rsid w:val="00D01F09"/>
    <w:rsid w:val="00D0317E"/>
    <w:rsid w:val="00D03527"/>
    <w:rsid w:val="00D147EB"/>
    <w:rsid w:val="00D15156"/>
    <w:rsid w:val="00D20254"/>
    <w:rsid w:val="00D2578D"/>
    <w:rsid w:val="00D27488"/>
    <w:rsid w:val="00D27E71"/>
    <w:rsid w:val="00D34667"/>
    <w:rsid w:val="00D401E1"/>
    <w:rsid w:val="00D408B4"/>
    <w:rsid w:val="00D44330"/>
    <w:rsid w:val="00D524C8"/>
    <w:rsid w:val="00D5687D"/>
    <w:rsid w:val="00D61D76"/>
    <w:rsid w:val="00D63E0F"/>
    <w:rsid w:val="00D70E24"/>
    <w:rsid w:val="00D72B61"/>
    <w:rsid w:val="00D841D5"/>
    <w:rsid w:val="00DA3D1D"/>
    <w:rsid w:val="00DA791D"/>
    <w:rsid w:val="00DB1D70"/>
    <w:rsid w:val="00DB6286"/>
    <w:rsid w:val="00DB645F"/>
    <w:rsid w:val="00DB76E9"/>
    <w:rsid w:val="00DC0A67"/>
    <w:rsid w:val="00DC1BC2"/>
    <w:rsid w:val="00DC1D5E"/>
    <w:rsid w:val="00DC2498"/>
    <w:rsid w:val="00DC25E9"/>
    <w:rsid w:val="00DC5220"/>
    <w:rsid w:val="00DD2061"/>
    <w:rsid w:val="00DD31B6"/>
    <w:rsid w:val="00DD6078"/>
    <w:rsid w:val="00DD7DAB"/>
    <w:rsid w:val="00DE3355"/>
    <w:rsid w:val="00DF0C60"/>
    <w:rsid w:val="00DF1B51"/>
    <w:rsid w:val="00DF486F"/>
    <w:rsid w:val="00DF4E24"/>
    <w:rsid w:val="00DF5B5B"/>
    <w:rsid w:val="00DF6C46"/>
    <w:rsid w:val="00DF7619"/>
    <w:rsid w:val="00E006DC"/>
    <w:rsid w:val="00E010E4"/>
    <w:rsid w:val="00E01DB5"/>
    <w:rsid w:val="00E042D8"/>
    <w:rsid w:val="00E07EE7"/>
    <w:rsid w:val="00E107F7"/>
    <w:rsid w:val="00E1103B"/>
    <w:rsid w:val="00E11810"/>
    <w:rsid w:val="00E13447"/>
    <w:rsid w:val="00E17B44"/>
    <w:rsid w:val="00E20F27"/>
    <w:rsid w:val="00E2130E"/>
    <w:rsid w:val="00E22443"/>
    <w:rsid w:val="00E25B1F"/>
    <w:rsid w:val="00E27FEA"/>
    <w:rsid w:val="00E33511"/>
    <w:rsid w:val="00E33D2E"/>
    <w:rsid w:val="00E34CC4"/>
    <w:rsid w:val="00E35B07"/>
    <w:rsid w:val="00E37C62"/>
    <w:rsid w:val="00E4086F"/>
    <w:rsid w:val="00E40EAC"/>
    <w:rsid w:val="00E43B3C"/>
    <w:rsid w:val="00E459A6"/>
    <w:rsid w:val="00E50188"/>
    <w:rsid w:val="00E50BB3"/>
    <w:rsid w:val="00E515CB"/>
    <w:rsid w:val="00E52260"/>
    <w:rsid w:val="00E5289E"/>
    <w:rsid w:val="00E538AE"/>
    <w:rsid w:val="00E602DF"/>
    <w:rsid w:val="00E639B6"/>
    <w:rsid w:val="00E6434B"/>
    <w:rsid w:val="00E6454B"/>
    <w:rsid w:val="00E6463D"/>
    <w:rsid w:val="00E6534E"/>
    <w:rsid w:val="00E71492"/>
    <w:rsid w:val="00E72E9B"/>
    <w:rsid w:val="00E73420"/>
    <w:rsid w:val="00E77ACD"/>
    <w:rsid w:val="00E8235B"/>
    <w:rsid w:val="00E84581"/>
    <w:rsid w:val="00E850C3"/>
    <w:rsid w:val="00E879F6"/>
    <w:rsid w:val="00E87DF2"/>
    <w:rsid w:val="00E90371"/>
    <w:rsid w:val="00E91576"/>
    <w:rsid w:val="00E917EB"/>
    <w:rsid w:val="00E9462E"/>
    <w:rsid w:val="00EA34C1"/>
    <w:rsid w:val="00EA470E"/>
    <w:rsid w:val="00EA47A7"/>
    <w:rsid w:val="00EA57EB"/>
    <w:rsid w:val="00EB3226"/>
    <w:rsid w:val="00EC1BB1"/>
    <w:rsid w:val="00EC213A"/>
    <w:rsid w:val="00EC41AA"/>
    <w:rsid w:val="00EC7744"/>
    <w:rsid w:val="00ED0DAD"/>
    <w:rsid w:val="00ED0F46"/>
    <w:rsid w:val="00ED2373"/>
    <w:rsid w:val="00ED24F9"/>
    <w:rsid w:val="00ED2E38"/>
    <w:rsid w:val="00EE2DC6"/>
    <w:rsid w:val="00EE3E8A"/>
    <w:rsid w:val="00EE5244"/>
    <w:rsid w:val="00EF29DC"/>
    <w:rsid w:val="00EF58B8"/>
    <w:rsid w:val="00EF6ECA"/>
    <w:rsid w:val="00F01605"/>
    <w:rsid w:val="00F024E1"/>
    <w:rsid w:val="00F06C10"/>
    <w:rsid w:val="00F073D8"/>
    <w:rsid w:val="00F07D04"/>
    <w:rsid w:val="00F1096F"/>
    <w:rsid w:val="00F12589"/>
    <w:rsid w:val="00F12595"/>
    <w:rsid w:val="00F1333B"/>
    <w:rsid w:val="00F134D9"/>
    <w:rsid w:val="00F1403D"/>
    <w:rsid w:val="00F1463F"/>
    <w:rsid w:val="00F14EA0"/>
    <w:rsid w:val="00F15660"/>
    <w:rsid w:val="00F21302"/>
    <w:rsid w:val="00F21910"/>
    <w:rsid w:val="00F2430D"/>
    <w:rsid w:val="00F25179"/>
    <w:rsid w:val="00F32068"/>
    <w:rsid w:val="00F321DE"/>
    <w:rsid w:val="00F33777"/>
    <w:rsid w:val="00F33DB9"/>
    <w:rsid w:val="00F40648"/>
    <w:rsid w:val="00F4298E"/>
    <w:rsid w:val="00F47DA2"/>
    <w:rsid w:val="00F51321"/>
    <w:rsid w:val="00F519FC"/>
    <w:rsid w:val="00F5349B"/>
    <w:rsid w:val="00F53FC8"/>
    <w:rsid w:val="00F558AB"/>
    <w:rsid w:val="00F6239D"/>
    <w:rsid w:val="00F63CB0"/>
    <w:rsid w:val="00F65A08"/>
    <w:rsid w:val="00F715D2"/>
    <w:rsid w:val="00F7274F"/>
    <w:rsid w:val="00F74E84"/>
    <w:rsid w:val="00F75421"/>
    <w:rsid w:val="00F7615B"/>
    <w:rsid w:val="00F76305"/>
    <w:rsid w:val="00F76ED3"/>
    <w:rsid w:val="00F76FA8"/>
    <w:rsid w:val="00F850C4"/>
    <w:rsid w:val="00F85AFE"/>
    <w:rsid w:val="00F877AC"/>
    <w:rsid w:val="00F93F08"/>
    <w:rsid w:val="00F94CED"/>
    <w:rsid w:val="00FA02BB"/>
    <w:rsid w:val="00FA2CEE"/>
    <w:rsid w:val="00FA318C"/>
    <w:rsid w:val="00FA40FC"/>
    <w:rsid w:val="00FA7B17"/>
    <w:rsid w:val="00FB3661"/>
    <w:rsid w:val="00FB6452"/>
    <w:rsid w:val="00FB6F92"/>
    <w:rsid w:val="00FC026E"/>
    <w:rsid w:val="00FC1C8A"/>
    <w:rsid w:val="00FC5124"/>
    <w:rsid w:val="00FD0155"/>
    <w:rsid w:val="00FD377F"/>
    <w:rsid w:val="00FD4731"/>
    <w:rsid w:val="00FD4E93"/>
    <w:rsid w:val="00FD6768"/>
    <w:rsid w:val="00FE0588"/>
    <w:rsid w:val="00FF0AB0"/>
    <w:rsid w:val="00FF28AC"/>
    <w:rsid w:val="00FF7591"/>
    <w:rsid w:val="00FF777D"/>
    <w:rsid w:val="00FF7F62"/>
    <w:rsid w:val="06D43151"/>
    <w:rsid w:val="07CBEDD0"/>
    <w:rsid w:val="0B3F6391"/>
    <w:rsid w:val="0EE1BFF6"/>
    <w:rsid w:val="124E0FB3"/>
    <w:rsid w:val="1378E846"/>
    <w:rsid w:val="1571C94F"/>
    <w:rsid w:val="177387EC"/>
    <w:rsid w:val="1ECE4356"/>
    <w:rsid w:val="21F02DEB"/>
    <w:rsid w:val="2FD88C02"/>
    <w:rsid w:val="31FB22DD"/>
    <w:rsid w:val="34797052"/>
    <w:rsid w:val="347F55F0"/>
    <w:rsid w:val="37A8CB26"/>
    <w:rsid w:val="434AF503"/>
    <w:rsid w:val="516E44B7"/>
    <w:rsid w:val="538358AF"/>
    <w:rsid w:val="54A20FF6"/>
    <w:rsid w:val="55427DE9"/>
    <w:rsid w:val="580D4B0A"/>
    <w:rsid w:val="5D905B1A"/>
    <w:rsid w:val="5F6AE161"/>
    <w:rsid w:val="676929DB"/>
    <w:rsid w:val="69CAF28B"/>
    <w:rsid w:val="69EB49CA"/>
    <w:rsid w:val="6AEB319C"/>
    <w:rsid w:val="6BF41D64"/>
    <w:rsid w:val="6E351CC2"/>
    <w:rsid w:val="786585DA"/>
    <w:rsid w:val="7DD90D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3"/>
      </w:numPr>
    </w:pPr>
  </w:style>
  <w:style w:type="paragraph" w:styleId="ListNumber2">
    <w:name w:val="List Number 2"/>
    <w:basedOn w:val="ListBullet"/>
    <w:qFormat/>
    <w:rsid w:val="00A719F6"/>
    <w:pPr>
      <w:numPr>
        <w:numId w:val="22"/>
      </w:numPr>
    </w:pPr>
  </w:style>
  <w:style w:type="paragraph" w:styleId="ListBullet">
    <w:name w:val="List Bullet"/>
    <w:basedOn w:val="Normal"/>
    <w:qFormat/>
    <w:rsid w:val="006F5073"/>
    <w:pPr>
      <w:numPr>
        <w:numId w:val="28"/>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4"/>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5"/>
      </w:numPr>
    </w:pPr>
    <w:rPr>
      <w:szCs w:val="20"/>
    </w:rPr>
  </w:style>
  <w:style w:type="paragraph" w:customStyle="1" w:styleId="Tablelistnumber">
    <w:name w:val="Table list number"/>
    <w:basedOn w:val="Tabletextleft"/>
    <w:qFormat/>
    <w:rsid w:val="00A719F6"/>
    <w:pPr>
      <w:numPr>
        <w:numId w:val="2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uiPriority w:val="99"/>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our-work/mbs-review?language=en" TargetMode="External"/><Relationship Id="rId13" Type="http://schemas.openxmlformats.org/officeDocument/2006/relationships/hyperlink" Target="https://www.mbsonline.gov.au/" TargetMode="External"/><Relationship Id="rId18" Type="http://schemas.openxmlformats.org/officeDocument/2006/relationships/hyperlink" Target="https://www.legislation.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bsonline.gov.au/internet/mbsonline/publishing.nsf/Content/downloads" TargetMode="External"/><Relationship Id="rId7" Type="http://schemas.openxmlformats.org/officeDocument/2006/relationships/endnotes" Target="endnotes.xml"/><Relationship Id="rId12" Type="http://schemas.openxmlformats.org/officeDocument/2006/relationships/hyperlink" Target="https://www.health.gov.au/topics/medicare/compliance" TargetMode="External"/><Relationship Id="rId17" Type="http://schemas.openxmlformats.org/officeDocument/2006/relationships/hyperlink" Target="https://www.health.gov.au/resources/collections/private-health-insurance-clinical-category-and-procedure-type?language=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ivatehealth.gov.au/health_insurance/phichanges/index.htm" TargetMode="External"/><Relationship Id="rId20" Type="http://schemas.openxmlformats.org/officeDocument/2006/relationships/hyperlink" Target="https://www.servicesaustralia.gov.au/organisations/health-professionals/news/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skMBS@health.gov.au" TargetMode="External"/><Relationship Id="rId23" Type="http://schemas.openxmlformats.org/officeDocument/2006/relationships/header" Target="header1.xml"/><Relationship Id="rId10" Type="http://schemas.openxmlformats.org/officeDocument/2006/relationships/hyperlink" Target="https://www.health.gov.au/resources/publications/report-from-the-general-practice-and-primary-care-clinical-committee-phase-2?language=en" TargetMode="External"/><Relationship Id="rId19" Type="http://schemas.openxmlformats.org/officeDocument/2006/relationships/hyperlink" Target="mailto:PHI@health.gov.au" TargetMode="External"/><Relationship Id="rId4" Type="http://schemas.openxmlformats.org/officeDocument/2006/relationships/settings" Target="settings.xml"/><Relationship Id="rId9" Type="http://schemas.openxmlformats.org/officeDocument/2006/relationships/hyperlink" Target="https://www.health.gov.au/" TargetMode="External"/><Relationship Id="rId14" Type="http://schemas.openxmlformats.org/officeDocument/2006/relationships/hyperlink" Target="https://www9.health.gov.au/mbs/subscribe.cf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130FD-C1C4-44FD-BA85-232DB89C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2025-05-22T05:31:00Z</dcterms:created>
  <dcterms:modified xsi:type="dcterms:W3CDTF">2025-05-22T05:32:00Z</dcterms:modified>
</cp:coreProperties>
</file>