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5EB5" w14:textId="7644218A" w:rsidR="00637DF2" w:rsidRPr="00E55809" w:rsidRDefault="00203979" w:rsidP="00637DF2">
      <w:pPr>
        <w:pStyle w:val="Title"/>
        <w:rPr>
          <w:szCs w:val="48"/>
        </w:rPr>
      </w:pPr>
      <w:bookmarkStart w:id="0" w:name="_Hlk191024500"/>
      <w:r w:rsidRPr="00E55809">
        <w:rPr>
          <w:szCs w:val="48"/>
        </w:rPr>
        <w:t>Geriatri</w:t>
      </w:r>
      <w:r w:rsidR="00637DF2" w:rsidRPr="00E55809">
        <w:rPr>
          <w:szCs w:val="48"/>
        </w:rPr>
        <w:t xml:space="preserve">cian </w:t>
      </w:r>
      <w:r w:rsidR="00AA04FD" w:rsidRPr="00E55809">
        <w:rPr>
          <w:szCs w:val="48"/>
        </w:rPr>
        <w:t xml:space="preserve">or consultant physician </w:t>
      </w:r>
      <w:r w:rsidR="00A272D8" w:rsidRPr="00E55809">
        <w:rPr>
          <w:szCs w:val="48"/>
        </w:rPr>
        <w:t>assessment and m</w:t>
      </w:r>
      <w:r w:rsidR="00637DF2" w:rsidRPr="00E55809">
        <w:rPr>
          <w:szCs w:val="48"/>
        </w:rPr>
        <w:t xml:space="preserve">anagement </w:t>
      </w:r>
      <w:r w:rsidR="00A272D8" w:rsidRPr="00E55809">
        <w:rPr>
          <w:szCs w:val="48"/>
        </w:rPr>
        <w:t>p</w:t>
      </w:r>
      <w:r w:rsidR="00637DF2" w:rsidRPr="00E55809">
        <w:rPr>
          <w:szCs w:val="48"/>
        </w:rPr>
        <w:t>lans</w:t>
      </w:r>
      <w:bookmarkStart w:id="1" w:name="_Hlk4568006"/>
    </w:p>
    <w:bookmarkEnd w:id="0"/>
    <w:p w14:paraId="75CD526B" w14:textId="77777777" w:rsidR="00AA04FD" w:rsidRDefault="00AA04FD" w:rsidP="00637DF2">
      <w:pPr>
        <w:pStyle w:val="Title"/>
        <w:rPr>
          <w:sz w:val="24"/>
          <w:szCs w:val="24"/>
        </w:rPr>
      </w:pPr>
    </w:p>
    <w:p w14:paraId="6EFD4B5B" w14:textId="0CC71CCB" w:rsidR="00064168" w:rsidRPr="00A272D8" w:rsidRDefault="00637DF2" w:rsidP="00637DF2">
      <w:pPr>
        <w:pStyle w:val="Title"/>
        <w:rPr>
          <w:sz w:val="24"/>
          <w:szCs w:val="24"/>
        </w:rPr>
      </w:pPr>
      <w:r w:rsidRPr="00A272D8">
        <w:rPr>
          <w:sz w:val="24"/>
          <w:szCs w:val="24"/>
        </w:rPr>
        <w:t>U</w:t>
      </w:r>
      <w:r w:rsidR="00064168" w:rsidRPr="00A272D8">
        <w:rPr>
          <w:sz w:val="24"/>
          <w:szCs w:val="24"/>
        </w:rPr>
        <w:t xml:space="preserve">pdated: </w:t>
      </w:r>
      <w:r w:rsidR="004A3F6B">
        <w:rPr>
          <w:sz w:val="24"/>
          <w:szCs w:val="24"/>
        </w:rPr>
        <w:t>2</w:t>
      </w:r>
      <w:r w:rsidR="00566BF9">
        <w:rPr>
          <w:sz w:val="24"/>
          <w:szCs w:val="24"/>
        </w:rPr>
        <w:t>5</w:t>
      </w:r>
      <w:r w:rsidR="00E32076" w:rsidRPr="00E32076">
        <w:rPr>
          <w:sz w:val="24"/>
          <w:szCs w:val="24"/>
        </w:rPr>
        <w:t xml:space="preserve"> </w:t>
      </w:r>
      <w:r w:rsidR="00F71CC3">
        <w:rPr>
          <w:sz w:val="24"/>
          <w:szCs w:val="24"/>
        </w:rPr>
        <w:t>February</w:t>
      </w:r>
      <w:r w:rsidR="00405512">
        <w:rPr>
          <w:sz w:val="24"/>
          <w:szCs w:val="24"/>
        </w:rPr>
        <w:t xml:space="preserve"> </w:t>
      </w:r>
      <w:r w:rsidR="00EF6D51" w:rsidRPr="00E32076">
        <w:rPr>
          <w:sz w:val="24"/>
          <w:szCs w:val="24"/>
        </w:rPr>
        <w:t>202</w:t>
      </w:r>
      <w:r w:rsidR="00BC4678">
        <w:rPr>
          <w:sz w:val="24"/>
          <w:szCs w:val="24"/>
        </w:rPr>
        <w:t>5</w:t>
      </w:r>
    </w:p>
    <w:bookmarkEnd w:id="1"/>
    <w:p w14:paraId="3F5B185F" w14:textId="04D17520" w:rsidR="00064168" w:rsidRPr="00470C55" w:rsidRDefault="003202FB">
      <w:pPr>
        <w:pStyle w:val="ListBullet"/>
      </w:pPr>
      <w:r>
        <w:t xml:space="preserve">Effective </w:t>
      </w:r>
      <w:r w:rsidR="00CD430A">
        <w:t xml:space="preserve">since </w:t>
      </w:r>
      <w:r w:rsidR="00F60EF4" w:rsidRPr="00307248">
        <w:rPr>
          <w:b/>
          <w:bCs/>
        </w:rPr>
        <w:t>1 November 200</w:t>
      </w:r>
      <w:r w:rsidR="00CD430A" w:rsidRPr="00307248">
        <w:rPr>
          <w:b/>
          <w:bCs/>
        </w:rPr>
        <w:t>7</w:t>
      </w:r>
      <w:r w:rsidR="00CD430A">
        <w:t xml:space="preserve">, there have been four MBS items </w:t>
      </w:r>
      <w:r w:rsidR="00733BE9">
        <w:t>to provide f</w:t>
      </w:r>
      <w:r w:rsidR="0068712A">
        <w:t xml:space="preserve">or </w:t>
      </w:r>
      <w:r w:rsidR="00805E8B">
        <w:t xml:space="preserve">the </w:t>
      </w:r>
      <w:r w:rsidR="008D6210">
        <w:t>assessment</w:t>
      </w:r>
      <w:r w:rsidR="00A47CF7">
        <w:t xml:space="preserve"> and </w:t>
      </w:r>
      <w:r w:rsidR="00805E8B">
        <w:t xml:space="preserve">development of </w:t>
      </w:r>
      <w:r w:rsidR="00A47CF7">
        <w:t xml:space="preserve">management plans </w:t>
      </w:r>
      <w:r w:rsidR="009957FD">
        <w:t xml:space="preserve">by </w:t>
      </w:r>
      <w:r w:rsidR="00E6071D">
        <w:t>geriatrician</w:t>
      </w:r>
      <w:r w:rsidR="00805E8B">
        <w:t>s</w:t>
      </w:r>
      <w:r w:rsidR="004818C0">
        <w:t xml:space="preserve"> </w:t>
      </w:r>
      <w:r w:rsidR="006C6553">
        <w:t xml:space="preserve">or consultant </w:t>
      </w:r>
      <w:r w:rsidR="00BD42BF">
        <w:t>physicians</w:t>
      </w:r>
      <w:r w:rsidR="004818C0">
        <w:t xml:space="preserve"> </w:t>
      </w:r>
      <w:r w:rsidR="00E6071D">
        <w:t>(MBS item</w:t>
      </w:r>
      <w:r w:rsidR="003238FA">
        <w:t>s</w:t>
      </w:r>
      <w:r w:rsidR="00E6071D">
        <w:t xml:space="preserve"> 141, </w:t>
      </w:r>
      <w:r w:rsidR="00864AF9">
        <w:t xml:space="preserve">143, </w:t>
      </w:r>
      <w:r w:rsidR="00864AF9" w:rsidRPr="00470C55">
        <w:t>145 and 147)</w:t>
      </w:r>
      <w:r w:rsidR="00FB14B3" w:rsidRPr="00470C55">
        <w:t xml:space="preserve"> </w:t>
      </w:r>
      <w:r w:rsidR="00350506" w:rsidRPr="00470C55">
        <w:t xml:space="preserve">to support </w:t>
      </w:r>
      <w:r w:rsidR="00FB14B3" w:rsidRPr="00470C55">
        <w:t xml:space="preserve">patients </w:t>
      </w:r>
      <w:r w:rsidR="00350506" w:rsidRPr="00470C55">
        <w:t xml:space="preserve">who are </w:t>
      </w:r>
      <w:r w:rsidR="00FB14B3" w:rsidRPr="00470C55">
        <w:t>at least 65 years old</w:t>
      </w:r>
      <w:r w:rsidR="00DA553D" w:rsidRPr="00470C55">
        <w:t>.</w:t>
      </w:r>
    </w:p>
    <w:p w14:paraId="71B45CB4" w14:textId="5AD3C191" w:rsidR="0098216C" w:rsidRPr="00470C55" w:rsidRDefault="00CA4DC2" w:rsidP="007D553F">
      <w:pPr>
        <w:pStyle w:val="ListBullet"/>
        <w:rPr>
          <w:rFonts w:ascii="Open Sans" w:hAnsi="Open Sans" w:cs="Open Sans"/>
          <w:color w:val="000000"/>
          <w:sz w:val="36"/>
          <w:szCs w:val="36"/>
          <w:lang w:eastAsia="en-AU"/>
        </w:rPr>
      </w:pPr>
      <w:r w:rsidRPr="00470C55">
        <w:rPr>
          <w:b/>
          <w:bCs/>
          <w:u w:val="single"/>
        </w:rPr>
        <w:t>There have been no changes to these items</w:t>
      </w:r>
      <w:r w:rsidRPr="00470C55">
        <w:t>, t</w:t>
      </w:r>
      <w:r w:rsidR="00D0456B" w:rsidRPr="00470C55">
        <w:t xml:space="preserve">his factsheet has been created to </w:t>
      </w:r>
      <w:r w:rsidR="00405512">
        <w:t xml:space="preserve">transfer </w:t>
      </w:r>
      <w:r w:rsidR="00D0456B" w:rsidRPr="00470C55">
        <w:t xml:space="preserve">the existing </w:t>
      </w:r>
      <w:r w:rsidR="00303DAB" w:rsidRPr="00470C55">
        <w:t>arrangements</w:t>
      </w:r>
      <w:r w:rsidR="00405512">
        <w:t xml:space="preserve"> on the new factsheet template</w:t>
      </w:r>
      <w:r w:rsidRPr="00470C55">
        <w:t>.</w:t>
      </w:r>
      <w:r w:rsidR="00AA04FD" w:rsidRPr="00470C55">
        <w:rPr>
          <w:b/>
          <w:bCs/>
          <w:u w:val="single"/>
        </w:rPr>
        <w:t xml:space="preserve"> </w:t>
      </w:r>
      <w:bookmarkStart w:id="2" w:name="who"/>
      <w:bookmarkEnd w:id="2"/>
    </w:p>
    <w:p w14:paraId="44460BF5" w14:textId="77777777" w:rsidR="00064168" w:rsidRPr="00867595" w:rsidRDefault="00064168" w:rsidP="00064168">
      <w:pPr>
        <w:pStyle w:val="Heading2"/>
      </w:pPr>
      <w:r w:rsidRPr="00867595">
        <w:t>What are the changes?</w:t>
      </w:r>
    </w:p>
    <w:p w14:paraId="063A5C77" w14:textId="69A27472" w:rsidR="00163940" w:rsidRPr="000C6EDB" w:rsidRDefault="00064168" w:rsidP="00F731CB">
      <w:pPr>
        <w:rPr>
          <w:szCs w:val="22"/>
        </w:rPr>
      </w:pPr>
      <w:r w:rsidRPr="000C6EDB">
        <w:rPr>
          <w:szCs w:val="22"/>
        </w:rPr>
        <w:t xml:space="preserve">Effective </w:t>
      </w:r>
      <w:r w:rsidR="00EC1610" w:rsidRPr="00307248">
        <w:rPr>
          <w:b/>
          <w:bCs/>
          <w:szCs w:val="22"/>
        </w:rPr>
        <w:t>1 November 2007</w:t>
      </w:r>
      <w:r w:rsidR="00EC1610" w:rsidRPr="000C6EDB">
        <w:rPr>
          <w:szCs w:val="22"/>
        </w:rPr>
        <w:t xml:space="preserve"> </w:t>
      </w:r>
      <w:r w:rsidR="006B0988" w:rsidRPr="000C6EDB">
        <w:rPr>
          <w:szCs w:val="22"/>
        </w:rPr>
        <w:t xml:space="preserve">four </w:t>
      </w:r>
      <w:r w:rsidR="00B56D5C" w:rsidRPr="000C6EDB">
        <w:rPr>
          <w:szCs w:val="22"/>
        </w:rPr>
        <w:t xml:space="preserve">MBS </w:t>
      </w:r>
      <w:r w:rsidRPr="000C6EDB">
        <w:rPr>
          <w:szCs w:val="22"/>
        </w:rPr>
        <w:t xml:space="preserve">items </w:t>
      </w:r>
      <w:r w:rsidR="00AD13FB" w:rsidRPr="000C6EDB">
        <w:rPr>
          <w:szCs w:val="22"/>
        </w:rPr>
        <w:t xml:space="preserve">(141-147) </w:t>
      </w:r>
      <w:r w:rsidR="00163940" w:rsidRPr="000C6EDB">
        <w:rPr>
          <w:szCs w:val="22"/>
        </w:rPr>
        <w:t>were introduced for the comprehensive assessment and management of patients 65 years of age or more</w:t>
      </w:r>
      <w:r w:rsidR="00DB4B64">
        <w:rPr>
          <w:szCs w:val="22"/>
        </w:rPr>
        <w:t xml:space="preserve">. </w:t>
      </w:r>
      <w:r w:rsidR="004408EF">
        <w:rPr>
          <w:szCs w:val="22"/>
        </w:rPr>
        <w:t xml:space="preserve">The </w:t>
      </w:r>
      <w:r w:rsidR="005364C2">
        <w:rPr>
          <w:szCs w:val="22"/>
        </w:rPr>
        <w:t>current MBS</w:t>
      </w:r>
      <w:r w:rsidR="004408EF">
        <w:rPr>
          <w:szCs w:val="22"/>
        </w:rPr>
        <w:t xml:space="preserve"> item descriptors are listed in </w:t>
      </w:r>
      <w:r w:rsidR="00BF57EC">
        <w:rPr>
          <w:szCs w:val="22"/>
        </w:rPr>
        <w:t xml:space="preserve">a </w:t>
      </w:r>
      <w:r w:rsidR="004408EF">
        <w:rPr>
          <w:szCs w:val="22"/>
        </w:rPr>
        <w:t>tabl</w:t>
      </w:r>
      <w:r w:rsidR="00BF57EC">
        <w:rPr>
          <w:szCs w:val="22"/>
        </w:rPr>
        <w:t>e at the end of this factsheet.</w:t>
      </w:r>
    </w:p>
    <w:p w14:paraId="42BD5171" w14:textId="77777777" w:rsidR="00064168" w:rsidRDefault="00064168" w:rsidP="00064168">
      <w:pPr>
        <w:pStyle w:val="Heading2"/>
      </w:pPr>
      <w:r>
        <w:t>Why are the changes being made?</w:t>
      </w:r>
    </w:p>
    <w:p w14:paraId="4E71A2A5" w14:textId="42EEFA3B" w:rsidR="001F38C3" w:rsidRPr="001F38C3" w:rsidRDefault="0011483D" w:rsidP="00DB4B64">
      <w:pPr>
        <w:spacing w:after="0"/>
        <w:rPr>
          <w:szCs w:val="22"/>
        </w:rPr>
      </w:pPr>
      <w:r w:rsidRPr="001F38C3">
        <w:rPr>
          <w:szCs w:val="22"/>
        </w:rPr>
        <w:t>These MBS item</w:t>
      </w:r>
      <w:r w:rsidR="000A6022" w:rsidRPr="001F38C3">
        <w:rPr>
          <w:szCs w:val="22"/>
        </w:rPr>
        <w:t>s were introduced to support (but no</w:t>
      </w:r>
      <w:r w:rsidRPr="001F38C3">
        <w:rPr>
          <w:szCs w:val="22"/>
        </w:rPr>
        <w:t>t limited to</w:t>
      </w:r>
      <w:r w:rsidR="000A6022" w:rsidRPr="001F38C3">
        <w:rPr>
          <w:szCs w:val="22"/>
        </w:rPr>
        <w:t>)</w:t>
      </w:r>
      <w:r w:rsidRPr="001F38C3">
        <w:rPr>
          <w:szCs w:val="22"/>
        </w:rPr>
        <w:t xml:space="preserve"> </w:t>
      </w:r>
      <w:r w:rsidR="00393D66" w:rsidRPr="001F38C3">
        <w:rPr>
          <w:szCs w:val="22"/>
        </w:rPr>
        <w:t xml:space="preserve">patients </w:t>
      </w:r>
      <w:r w:rsidRPr="001F38C3">
        <w:rPr>
          <w:szCs w:val="22"/>
        </w:rPr>
        <w:t>being managed by their general practitioner (GP) with a GP Management Plan (GPMP) or Team Care Arrangement (TCA).</w:t>
      </w:r>
      <w:r w:rsidR="0003020B" w:rsidRPr="001F38C3">
        <w:rPr>
          <w:szCs w:val="22"/>
        </w:rPr>
        <w:t xml:space="preserve"> </w:t>
      </w:r>
    </w:p>
    <w:p w14:paraId="4B2559AC" w14:textId="27628E06" w:rsidR="00064168" w:rsidRDefault="00064168" w:rsidP="00064168">
      <w:pPr>
        <w:pStyle w:val="Heading2"/>
      </w:pPr>
      <w:r>
        <w:t>What does this mean for providers?</w:t>
      </w:r>
    </w:p>
    <w:p w14:paraId="2B8001F4" w14:textId="70B7230C" w:rsidR="00800A01" w:rsidRPr="009C5EC9" w:rsidRDefault="00CA72D0" w:rsidP="00800A01">
      <w:pPr>
        <w:rPr>
          <w:rFonts w:cs="Arial"/>
          <w:color w:val="222222"/>
          <w:szCs w:val="22"/>
          <w:shd w:val="clear" w:color="auto" w:fill="FFFFFF"/>
        </w:rPr>
      </w:pPr>
      <w:r w:rsidRPr="009C5EC9">
        <w:rPr>
          <w:rFonts w:cs="Arial"/>
          <w:color w:val="222222"/>
          <w:szCs w:val="22"/>
          <w:shd w:val="clear" w:color="auto" w:fill="FFFFFF"/>
        </w:rPr>
        <w:t>M</w:t>
      </w:r>
      <w:r w:rsidR="00A701DD" w:rsidRPr="009C5EC9">
        <w:rPr>
          <w:rFonts w:cs="Arial"/>
          <w:color w:val="222222"/>
          <w:szCs w:val="22"/>
          <w:shd w:val="clear" w:color="auto" w:fill="FFFFFF"/>
        </w:rPr>
        <w:t>BS</w:t>
      </w:r>
      <w:r w:rsidRPr="009C5EC9">
        <w:rPr>
          <w:rFonts w:cs="Arial"/>
          <w:color w:val="222222"/>
          <w:szCs w:val="22"/>
          <w:shd w:val="clear" w:color="auto" w:fill="FFFFFF"/>
        </w:rPr>
        <w:t xml:space="preserve"> </w:t>
      </w:r>
      <w:r w:rsidR="00CE775B" w:rsidRPr="009C5EC9">
        <w:rPr>
          <w:rFonts w:cs="Arial"/>
          <w:color w:val="222222"/>
          <w:szCs w:val="22"/>
          <w:shd w:val="clear" w:color="auto" w:fill="FFFFFF"/>
        </w:rPr>
        <w:t xml:space="preserve">items </w:t>
      </w:r>
      <w:r w:rsidRPr="009C5EC9">
        <w:rPr>
          <w:rFonts w:cs="Arial"/>
          <w:color w:val="222222"/>
          <w:szCs w:val="22"/>
          <w:shd w:val="clear" w:color="auto" w:fill="FFFFFF"/>
        </w:rPr>
        <w:t xml:space="preserve">141, 143, 145 or 147 </w:t>
      </w:r>
      <w:r w:rsidR="009E68A1" w:rsidRPr="009C5EC9">
        <w:rPr>
          <w:rFonts w:cs="Arial"/>
          <w:color w:val="222222"/>
          <w:szCs w:val="22"/>
          <w:shd w:val="clear" w:color="auto" w:fill="FFFFFF"/>
        </w:rPr>
        <w:t xml:space="preserve">currently </w:t>
      </w:r>
      <w:r w:rsidR="00933804" w:rsidRPr="009C5EC9">
        <w:rPr>
          <w:rFonts w:cs="Arial"/>
          <w:color w:val="222222"/>
          <w:szCs w:val="22"/>
          <w:shd w:val="clear" w:color="auto" w:fill="FFFFFF"/>
        </w:rPr>
        <w:t xml:space="preserve">require a referral and </w:t>
      </w:r>
      <w:r w:rsidRPr="009C5EC9">
        <w:rPr>
          <w:rFonts w:cs="Arial"/>
          <w:color w:val="222222"/>
          <w:szCs w:val="22"/>
          <w:shd w:val="clear" w:color="auto" w:fill="FFFFFF"/>
        </w:rPr>
        <w:t>must be provided by a consultant physician or a specialist in geriatric medicine as approved by the Royal Australasian College of Physicians.</w:t>
      </w:r>
      <w:r w:rsidRPr="009C5EC9">
        <w:rPr>
          <w:rFonts w:cs="Arial"/>
          <w:color w:val="222222"/>
          <w:szCs w:val="22"/>
        </w:rPr>
        <w:br/>
      </w:r>
    </w:p>
    <w:p w14:paraId="6F2DA3CB" w14:textId="7A3AB03B" w:rsidR="00800A01" w:rsidRPr="009C5EC9" w:rsidRDefault="00800A01" w:rsidP="00800A01">
      <w:pPr>
        <w:rPr>
          <w:rFonts w:cs="Arial"/>
          <w:color w:val="auto"/>
          <w:sz w:val="24"/>
          <w:szCs w:val="28"/>
        </w:rPr>
      </w:pPr>
      <w:r w:rsidRPr="009C5EC9">
        <w:rPr>
          <w:rFonts w:cs="Arial"/>
          <w:color w:val="222222"/>
          <w:szCs w:val="22"/>
          <w:shd w:val="clear" w:color="auto" w:fill="FFFFFF"/>
        </w:rPr>
        <w:t xml:space="preserve">A GP referral </w:t>
      </w:r>
      <w:r w:rsidR="00F75550">
        <w:rPr>
          <w:rFonts w:cs="Arial"/>
          <w:color w:val="222222"/>
          <w:szCs w:val="22"/>
          <w:shd w:val="clear" w:color="auto" w:fill="FFFFFF"/>
        </w:rPr>
        <w:t xml:space="preserve">for these items </w:t>
      </w:r>
      <w:r w:rsidRPr="009C5EC9">
        <w:rPr>
          <w:rFonts w:cs="Arial"/>
          <w:color w:val="222222"/>
          <w:szCs w:val="22"/>
          <w:shd w:val="clear" w:color="auto" w:fill="FFFFFF"/>
        </w:rPr>
        <w:t>should include:</w:t>
      </w:r>
    </w:p>
    <w:p w14:paraId="44F1A31A" w14:textId="77777777" w:rsidR="00800A01" w:rsidRPr="009C5EC9" w:rsidRDefault="00800A01" w:rsidP="00800A01">
      <w:pPr>
        <w:numPr>
          <w:ilvl w:val="0"/>
          <w:numId w:val="34"/>
        </w:numPr>
        <w:shd w:val="clear" w:color="auto" w:fill="FFFFFF"/>
        <w:spacing w:before="0" w:after="90" w:line="300" w:lineRule="atLeast"/>
        <w:rPr>
          <w:rFonts w:cs="Arial"/>
          <w:color w:val="222222"/>
          <w:szCs w:val="22"/>
        </w:rPr>
      </w:pPr>
      <w:r w:rsidRPr="009C5EC9">
        <w:rPr>
          <w:rFonts w:cs="Arial"/>
          <w:color w:val="222222"/>
          <w:szCs w:val="22"/>
        </w:rPr>
        <w:t>a patient history</w:t>
      </w:r>
    </w:p>
    <w:p w14:paraId="050AE428" w14:textId="77777777" w:rsidR="00800A01" w:rsidRPr="009C5EC9" w:rsidRDefault="00800A01" w:rsidP="00800A01">
      <w:pPr>
        <w:numPr>
          <w:ilvl w:val="0"/>
          <w:numId w:val="34"/>
        </w:numPr>
        <w:shd w:val="clear" w:color="auto" w:fill="FFFFFF"/>
        <w:spacing w:before="0" w:after="90" w:line="300" w:lineRule="atLeast"/>
        <w:rPr>
          <w:rFonts w:cs="Arial"/>
          <w:color w:val="222222"/>
          <w:szCs w:val="22"/>
        </w:rPr>
      </w:pPr>
      <w:r w:rsidRPr="009C5EC9">
        <w:rPr>
          <w:rFonts w:cs="Arial"/>
          <w:color w:val="222222"/>
          <w:szCs w:val="22"/>
        </w:rPr>
        <w:t>relevant pathology results</w:t>
      </w:r>
    </w:p>
    <w:p w14:paraId="0DDF7F7E" w14:textId="77777777" w:rsidR="00800A01" w:rsidRPr="009C5EC9" w:rsidRDefault="00800A01" w:rsidP="00800A01">
      <w:pPr>
        <w:numPr>
          <w:ilvl w:val="0"/>
          <w:numId w:val="34"/>
        </w:numPr>
        <w:shd w:val="clear" w:color="auto" w:fill="FFFFFF"/>
        <w:spacing w:before="0" w:after="90" w:line="300" w:lineRule="atLeast"/>
        <w:rPr>
          <w:rFonts w:cs="Arial"/>
          <w:color w:val="222222"/>
          <w:szCs w:val="22"/>
        </w:rPr>
      </w:pPr>
      <w:r w:rsidRPr="009C5EC9">
        <w:rPr>
          <w:rFonts w:cs="Arial"/>
          <w:color w:val="222222"/>
          <w:szCs w:val="22"/>
        </w:rPr>
        <w:t>medications and possible interactions (with a focus on presenting symptoms and current difficulties)</w:t>
      </w:r>
    </w:p>
    <w:p w14:paraId="522AB7A6" w14:textId="77777777" w:rsidR="00800A01" w:rsidRPr="009C5EC9" w:rsidRDefault="00800A01" w:rsidP="00800A01">
      <w:pPr>
        <w:numPr>
          <w:ilvl w:val="0"/>
          <w:numId w:val="34"/>
        </w:numPr>
        <w:shd w:val="clear" w:color="auto" w:fill="FFFFFF"/>
        <w:spacing w:before="0" w:after="90" w:line="300" w:lineRule="atLeast"/>
        <w:rPr>
          <w:rFonts w:cs="Arial"/>
          <w:color w:val="222222"/>
          <w:szCs w:val="22"/>
        </w:rPr>
      </w:pPr>
      <w:r w:rsidRPr="009C5EC9">
        <w:rPr>
          <w:rFonts w:cs="Arial"/>
          <w:color w:val="222222"/>
          <w:szCs w:val="22"/>
        </w:rPr>
        <w:t>other health professional documentation such as health assessments and care plans.</w:t>
      </w:r>
    </w:p>
    <w:p w14:paraId="0CED29FC" w14:textId="7F2FAE29" w:rsidR="00E6141E" w:rsidRPr="009C5EC9" w:rsidRDefault="000751C3" w:rsidP="00480294">
      <w:pPr>
        <w:rPr>
          <w:rFonts w:cs="Arial"/>
          <w:color w:val="222222"/>
          <w:szCs w:val="22"/>
          <w:shd w:val="clear" w:color="auto" w:fill="FFFFFF"/>
        </w:rPr>
      </w:pPr>
      <w:r w:rsidRPr="009C5EC9">
        <w:rPr>
          <w:rFonts w:cs="Arial"/>
          <w:color w:val="222222"/>
          <w:szCs w:val="22"/>
          <w:shd w:val="clear" w:color="auto" w:fill="FFFFFF"/>
        </w:rPr>
        <w:t>A written report of the assessment</w:t>
      </w:r>
      <w:r w:rsidR="00405512">
        <w:rPr>
          <w:rFonts w:cs="Arial"/>
          <w:color w:val="222222"/>
          <w:szCs w:val="22"/>
          <w:shd w:val="clear" w:color="auto" w:fill="FFFFFF"/>
        </w:rPr>
        <w:t xml:space="preserve"> by the geriatrician or consultant physician</w:t>
      </w:r>
      <w:r w:rsidRPr="009C5EC9">
        <w:rPr>
          <w:rFonts w:cs="Arial"/>
          <w:color w:val="222222"/>
          <w:szCs w:val="22"/>
          <w:shd w:val="clear" w:color="auto" w:fill="FFFFFF"/>
        </w:rPr>
        <w:t xml:space="preserve">, including the management plan, should be provided to the referring GP. This should occur within two weeks of the </w:t>
      </w:r>
      <w:r w:rsidR="00054C8E" w:rsidRPr="009C5EC9">
        <w:rPr>
          <w:rFonts w:cs="Arial"/>
          <w:color w:val="222222"/>
          <w:szCs w:val="22"/>
          <w:shd w:val="clear" w:color="auto" w:fill="FFFFFF"/>
        </w:rPr>
        <w:t>assessment;</w:t>
      </w:r>
      <w:r w:rsidRPr="009C5EC9">
        <w:rPr>
          <w:rFonts w:cs="Arial"/>
          <w:color w:val="222222"/>
          <w:szCs w:val="22"/>
          <w:shd w:val="clear" w:color="auto" w:fill="FFFFFF"/>
        </w:rPr>
        <w:t xml:space="preserve"> however </w:t>
      </w:r>
      <w:r w:rsidR="00792FDA">
        <w:rPr>
          <w:rFonts w:cs="Arial"/>
          <w:color w:val="222222"/>
          <w:szCs w:val="22"/>
          <w:shd w:val="clear" w:color="auto" w:fill="FFFFFF"/>
        </w:rPr>
        <w:t xml:space="preserve">earlier </w:t>
      </w:r>
      <w:r w:rsidRPr="009C5EC9">
        <w:rPr>
          <w:rFonts w:cs="Arial"/>
          <w:color w:val="222222"/>
          <w:szCs w:val="22"/>
          <w:shd w:val="clear" w:color="auto" w:fill="FFFFFF"/>
        </w:rPr>
        <w:t>verbal communication may be appropriate.</w:t>
      </w:r>
    </w:p>
    <w:p w14:paraId="15FF2A76" w14:textId="2EE9F77D" w:rsidR="00607C2E" w:rsidRDefault="00607C2E" w:rsidP="00607C2E">
      <w:pPr>
        <w:pStyle w:val="Heading2"/>
      </w:pPr>
      <w:r>
        <w:lastRenderedPageBreak/>
        <w:t>What does this mean for patients?</w:t>
      </w:r>
    </w:p>
    <w:p w14:paraId="52146393" w14:textId="38284379" w:rsidR="00757BFD" w:rsidRDefault="00757BFD" w:rsidP="00E6141E">
      <w:pPr>
        <w:rPr>
          <w:rFonts w:cs="Arial"/>
          <w:color w:val="222222"/>
          <w:szCs w:val="22"/>
          <w:shd w:val="clear" w:color="auto" w:fill="FFFFFF"/>
        </w:rPr>
      </w:pPr>
      <w:r w:rsidRPr="006F5073">
        <w:t xml:space="preserve">Patients will </w:t>
      </w:r>
      <w:r>
        <w:t>cont</w:t>
      </w:r>
      <w:r w:rsidR="00705CF5">
        <w:t xml:space="preserve">inue to </w:t>
      </w:r>
      <w:r w:rsidRPr="006F5073">
        <w:t xml:space="preserve">receive Medicare </w:t>
      </w:r>
      <w:r w:rsidR="0017630C">
        <w:t>benefits</w:t>
      </w:r>
      <w:r w:rsidRPr="006F5073">
        <w:t xml:space="preserve"> for </w:t>
      </w:r>
      <w:r w:rsidR="00705CF5">
        <w:t xml:space="preserve">geriatrician </w:t>
      </w:r>
      <w:r w:rsidRPr="006F5073">
        <w:t xml:space="preserve">services that are clinically appropriate and reflect modern clinical </w:t>
      </w:r>
      <w:r w:rsidR="00345778" w:rsidRPr="006F5073">
        <w:t>practice.</w:t>
      </w:r>
      <w:r w:rsidRPr="009C5EC9">
        <w:rPr>
          <w:rFonts w:cs="Arial"/>
          <w:color w:val="222222"/>
          <w:szCs w:val="22"/>
          <w:shd w:val="clear" w:color="auto" w:fill="FFFFFF"/>
        </w:rPr>
        <w:t xml:space="preserve"> </w:t>
      </w:r>
    </w:p>
    <w:p w14:paraId="0170668E" w14:textId="379E035A" w:rsidR="00E6141E" w:rsidRPr="009C5EC9" w:rsidRDefault="00054C8E" w:rsidP="00E6141E">
      <w:pPr>
        <w:rPr>
          <w:rFonts w:cs="Arial"/>
          <w:color w:val="auto"/>
          <w:sz w:val="24"/>
          <w:szCs w:val="28"/>
        </w:rPr>
      </w:pPr>
      <w:r>
        <w:rPr>
          <w:rFonts w:cs="Arial"/>
          <w:color w:val="222222"/>
          <w:szCs w:val="22"/>
          <w:shd w:val="clear" w:color="auto" w:fill="FFFFFF"/>
        </w:rPr>
        <w:t>Following the assessment, a</w:t>
      </w:r>
      <w:r w:rsidR="00E6141E" w:rsidRPr="009C5EC9">
        <w:rPr>
          <w:rFonts w:cs="Arial"/>
          <w:color w:val="222222"/>
          <w:szCs w:val="22"/>
          <w:shd w:val="clear" w:color="auto" w:fill="FFFFFF"/>
        </w:rPr>
        <w:t xml:space="preserve"> geriatrician or consultant physician may refer a patient to an allied health professional, but the allied health service will not be eligible for a Medicare </w:t>
      </w:r>
      <w:r w:rsidR="0017630C">
        <w:rPr>
          <w:rFonts w:cs="Arial"/>
          <w:color w:val="222222"/>
          <w:szCs w:val="22"/>
          <w:shd w:val="clear" w:color="auto" w:fill="FFFFFF"/>
        </w:rPr>
        <w:t>benefit</w:t>
      </w:r>
      <w:r w:rsidR="00E6141E" w:rsidRPr="009C5EC9">
        <w:rPr>
          <w:rFonts w:cs="Arial"/>
          <w:color w:val="222222"/>
          <w:szCs w:val="22"/>
          <w:shd w:val="clear" w:color="auto" w:fill="FFFFFF"/>
        </w:rPr>
        <w:t xml:space="preserve"> </w:t>
      </w:r>
      <w:r w:rsidR="00345778" w:rsidRPr="009C5EC9">
        <w:rPr>
          <w:rFonts w:cs="Arial"/>
          <w:color w:val="222222"/>
          <w:szCs w:val="22"/>
          <w:shd w:val="clear" w:color="auto" w:fill="FFFFFF"/>
        </w:rPr>
        <w:t>because of</w:t>
      </w:r>
      <w:r w:rsidR="00E6141E" w:rsidRPr="009C5EC9">
        <w:rPr>
          <w:rFonts w:cs="Arial"/>
          <w:color w:val="222222"/>
          <w:szCs w:val="22"/>
          <w:shd w:val="clear" w:color="auto" w:fill="FFFFFF"/>
        </w:rPr>
        <w:t xml:space="preserve"> this referral. To be eligible for a Medicare benefit for allied health services, the patient must be:</w:t>
      </w:r>
    </w:p>
    <w:p w14:paraId="501B18AD" w14:textId="0E3924C4" w:rsidR="00E6141E" w:rsidRPr="009C5EC9" w:rsidRDefault="00E6141E" w:rsidP="00E6141E">
      <w:pPr>
        <w:numPr>
          <w:ilvl w:val="0"/>
          <w:numId w:val="33"/>
        </w:numPr>
        <w:shd w:val="clear" w:color="auto" w:fill="FFFFFF"/>
        <w:spacing w:before="0" w:after="90" w:line="300" w:lineRule="atLeast"/>
        <w:rPr>
          <w:rFonts w:cs="Arial"/>
          <w:color w:val="222222"/>
          <w:szCs w:val="22"/>
        </w:rPr>
      </w:pPr>
      <w:r w:rsidRPr="009C5EC9">
        <w:rPr>
          <w:rFonts w:cs="Arial"/>
          <w:color w:val="222222"/>
          <w:szCs w:val="22"/>
        </w:rPr>
        <w:t>managed by their GP using a GPMP and TCA</w:t>
      </w:r>
      <w:r w:rsidR="00305D4A">
        <w:rPr>
          <w:rFonts w:cs="Arial"/>
          <w:color w:val="222222"/>
          <w:szCs w:val="22"/>
        </w:rPr>
        <w:t>, or</w:t>
      </w:r>
    </w:p>
    <w:p w14:paraId="3A8E758A" w14:textId="2F053EFB" w:rsidR="00E6141E" w:rsidRPr="009C5EC9" w:rsidRDefault="00E6141E" w:rsidP="00E6141E">
      <w:pPr>
        <w:numPr>
          <w:ilvl w:val="0"/>
          <w:numId w:val="33"/>
        </w:numPr>
        <w:shd w:val="clear" w:color="auto" w:fill="FFFFFF"/>
        <w:spacing w:before="0" w:after="90" w:line="300" w:lineRule="atLeast"/>
        <w:rPr>
          <w:rFonts w:cs="Arial"/>
          <w:color w:val="222222"/>
          <w:szCs w:val="22"/>
        </w:rPr>
      </w:pPr>
      <w:r w:rsidRPr="009C5EC9">
        <w:rPr>
          <w:rFonts w:cs="Arial"/>
          <w:color w:val="222222"/>
          <w:szCs w:val="22"/>
        </w:rPr>
        <w:t>referred to eligible services by their GP</w:t>
      </w:r>
      <w:r w:rsidR="00345778">
        <w:rPr>
          <w:rFonts w:cs="Arial"/>
          <w:color w:val="222222"/>
          <w:szCs w:val="22"/>
        </w:rPr>
        <w:t>.</w:t>
      </w:r>
    </w:p>
    <w:p w14:paraId="063FF6EB" w14:textId="20D94E80" w:rsidR="00E6141E" w:rsidRPr="0098216C" w:rsidRDefault="00E6141E" w:rsidP="00CB730A">
      <w:pPr>
        <w:spacing w:after="0"/>
        <w:rPr>
          <w:rFonts w:ascii="Times New Roman" w:hAnsi="Times New Roman"/>
          <w:color w:val="auto"/>
          <w:sz w:val="24"/>
          <w:highlight w:val="yellow"/>
        </w:rPr>
      </w:pPr>
      <w:r w:rsidRPr="009C5EC9">
        <w:rPr>
          <w:rFonts w:cs="Arial"/>
          <w:color w:val="222222"/>
          <w:szCs w:val="22"/>
          <w:shd w:val="clear" w:color="auto" w:fill="FFFFFF"/>
        </w:rPr>
        <w:t xml:space="preserve">This does not prevent a geriatrician from identifying the need for allied health services, but it does require the GP to review the TCAs </w:t>
      </w:r>
      <w:r w:rsidR="00345778" w:rsidRPr="009C5EC9">
        <w:rPr>
          <w:rFonts w:cs="Arial"/>
          <w:color w:val="222222"/>
          <w:szCs w:val="22"/>
          <w:shd w:val="clear" w:color="auto" w:fill="FFFFFF"/>
        </w:rPr>
        <w:t>to</w:t>
      </w:r>
      <w:r w:rsidRPr="009C5EC9">
        <w:rPr>
          <w:rFonts w:cs="Arial"/>
          <w:color w:val="222222"/>
          <w:szCs w:val="22"/>
          <w:shd w:val="clear" w:color="auto" w:fill="FFFFFF"/>
        </w:rPr>
        <w:t xml:space="preserve"> incorporate specialist recommendation/s and to make an allied health referral that meets Medicare requirements.</w:t>
      </w:r>
      <w:r w:rsidRPr="009C5EC9">
        <w:rPr>
          <w:rFonts w:cs="Arial"/>
          <w:color w:val="222222"/>
          <w:szCs w:val="22"/>
        </w:rPr>
        <w:br/>
      </w:r>
    </w:p>
    <w:p w14:paraId="5BD9BE80" w14:textId="77777777" w:rsidR="00064168" w:rsidRDefault="00064168" w:rsidP="00064168">
      <w:pPr>
        <w:pStyle w:val="Heading2"/>
      </w:pPr>
      <w:r w:rsidRPr="001A7FB7">
        <w:t>Who was consulted on the changes?</w:t>
      </w:r>
    </w:p>
    <w:p w14:paraId="4B6E1455" w14:textId="01479A29" w:rsidR="00064168" w:rsidRPr="00867595" w:rsidRDefault="00BE79AF" w:rsidP="00064168">
      <w:pPr>
        <w:rPr>
          <w:szCs w:val="22"/>
        </w:rPr>
      </w:pPr>
      <w:r w:rsidRPr="00305D4A">
        <w:rPr>
          <w:szCs w:val="22"/>
        </w:rPr>
        <w:t xml:space="preserve">The items were introduced in 2007 following consultation with the </w:t>
      </w:r>
      <w:r w:rsidR="0073678E" w:rsidRPr="00305D4A">
        <w:rPr>
          <w:szCs w:val="22"/>
        </w:rPr>
        <w:t xml:space="preserve">Australian Medical </w:t>
      </w:r>
      <w:r w:rsidR="00AF04FA" w:rsidRPr="00305D4A">
        <w:rPr>
          <w:szCs w:val="22"/>
        </w:rPr>
        <w:t xml:space="preserve">Association and the </w:t>
      </w:r>
      <w:r w:rsidR="0073678E" w:rsidRPr="00305D4A">
        <w:rPr>
          <w:szCs w:val="22"/>
        </w:rPr>
        <w:t>Australian and New Zealand Society</w:t>
      </w:r>
      <w:r w:rsidR="00345778" w:rsidRPr="00305D4A">
        <w:rPr>
          <w:szCs w:val="22"/>
        </w:rPr>
        <w:t xml:space="preserve"> for Geriatric Medicine</w:t>
      </w:r>
      <w:r w:rsidRPr="00305D4A">
        <w:rPr>
          <w:szCs w:val="22"/>
        </w:rP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19E250F4" w14:textId="3289E40E" w:rsidR="00067219" w:rsidRPr="001B44C2" w:rsidRDefault="00A130BD" w:rsidP="00067219">
      <w:pPr>
        <w:rPr>
          <w:szCs w:val="22"/>
        </w:rPr>
      </w:pPr>
      <w:r>
        <w:rPr>
          <w:szCs w:val="22"/>
        </w:rPr>
        <w:t>These</w:t>
      </w:r>
      <w:r w:rsidR="00067219" w:rsidRPr="001B44C2">
        <w:rPr>
          <w:szCs w:val="22"/>
        </w:rPr>
        <w:t xml:space="preserve"> </w:t>
      </w:r>
      <w:r w:rsidR="00067219">
        <w:rPr>
          <w:szCs w:val="22"/>
        </w:rPr>
        <w:t xml:space="preserve">geriatrician </w:t>
      </w:r>
      <w:r w:rsidR="00067219" w:rsidRPr="001B44C2">
        <w:rPr>
          <w:szCs w:val="22"/>
        </w:rPr>
        <w:t xml:space="preserve">items will continue to be subject to </w:t>
      </w:r>
      <w:r w:rsidR="00D45430">
        <w:rPr>
          <w:szCs w:val="22"/>
        </w:rPr>
        <w:t xml:space="preserve">routine </w:t>
      </w:r>
      <w:r w:rsidR="00067219" w:rsidRPr="001B44C2">
        <w:rPr>
          <w:szCs w:val="22"/>
        </w:rPr>
        <w:t>MBS compliance processes and activities, including random and targeted audits which may require a provider to submit evidence about the services claimed.  </w:t>
      </w:r>
    </w:p>
    <w:p w14:paraId="1A486F78" w14:textId="77777777" w:rsidR="00067219" w:rsidRDefault="00067219" w:rsidP="00067219">
      <w:pPr>
        <w:rPr>
          <w:szCs w:val="22"/>
        </w:rPr>
      </w:pPr>
      <w:r w:rsidRPr="001B44C2">
        <w:rPr>
          <w:szCs w:val="22"/>
        </w:rPr>
        <w:t>Significant variation from forecasted expenditure may warrant review and amendment of fees, and incorrect use of MBS items can result in penalties including the health professional being asked to repay monies that have been incorrectly received. </w:t>
      </w:r>
    </w:p>
    <w:p w14:paraId="67E9055D" w14:textId="77777777" w:rsidR="00067219" w:rsidRPr="00867595" w:rsidRDefault="00067219" w:rsidP="00067219">
      <w:pPr>
        <w:rPr>
          <w:szCs w:val="22"/>
        </w:rPr>
      </w:pPr>
      <w:r>
        <w:rPr>
          <w:rFonts w:cs="Arial"/>
          <w:color w:val="000000"/>
          <w:szCs w:val="22"/>
        </w:rPr>
        <w:t>Providers are responsible for ensuring services claimed from Medicare using their provider number meet all legislative requirements. These changes are subject to MBS compliance checks and providers may be required to submit evidence about the services claimed.</w:t>
      </w:r>
    </w:p>
    <w:p w14:paraId="3C63E237" w14:textId="77777777" w:rsidR="00064168" w:rsidRDefault="00064168" w:rsidP="00064168">
      <w:pPr>
        <w:pStyle w:val="Heading2"/>
      </w:pPr>
      <w:r>
        <w:t>Where can I find more information?</w:t>
      </w:r>
    </w:p>
    <w:p w14:paraId="5EEA2BAC" w14:textId="23D51BD3" w:rsidR="00064168" w:rsidRPr="00867595" w:rsidRDefault="00064168" w:rsidP="00064168">
      <w:pPr>
        <w:rPr>
          <w:szCs w:val="22"/>
        </w:rPr>
      </w:pPr>
      <w:r w:rsidRPr="00867595">
        <w:rPr>
          <w:szCs w:val="22"/>
        </w:rPr>
        <w:t xml:space="preserve">The full item descriptor(s) and information on other changes to the MBS can be found on the </w:t>
      </w:r>
      <w:hyperlink r:id="rId8"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9" w:history="1">
        <w:r w:rsidR="00C02732" w:rsidRPr="004E500C">
          <w:rPr>
            <w:rStyle w:val="Hyperlink"/>
            <w:szCs w:val="22"/>
          </w:rPr>
          <w:t>MBS Online</w:t>
        </w:r>
        <w:r w:rsidRPr="004E500C">
          <w:rPr>
            <w:rStyle w:val="Hyperlink"/>
            <w:szCs w:val="22"/>
          </w:rPr>
          <w:t xml:space="preserve"> </w:t>
        </w:r>
      </w:hyperlink>
      <w:r w:rsidRPr="00867595">
        <w:rPr>
          <w:szCs w:val="22"/>
        </w:rPr>
        <w:t xml:space="preserve">and clicking ‘Subscribe’. </w:t>
      </w:r>
    </w:p>
    <w:p w14:paraId="589A6190" w14:textId="258C4D06" w:rsidR="00064168" w:rsidRDefault="00064168" w:rsidP="00064168">
      <w:pPr>
        <w:rPr>
          <w:szCs w:val="22"/>
        </w:rPr>
      </w:pPr>
      <w:bookmarkStart w:id="3" w:name="_Hlk191026104"/>
      <w:r w:rsidRPr="00867595">
        <w:rPr>
          <w:szCs w:val="22"/>
        </w:rPr>
        <w:t xml:space="preserve">The Department of Health </w:t>
      </w:r>
      <w:r w:rsidR="00F85AFE">
        <w:rPr>
          <w:szCs w:val="22"/>
        </w:rPr>
        <w:t xml:space="preserve">and Aged </w:t>
      </w:r>
      <w:bookmarkEnd w:id="3"/>
      <w:r w:rsidR="00F85AFE">
        <w:rPr>
          <w:szCs w:val="22"/>
        </w:rPr>
        <w:t>Care</w:t>
      </w:r>
      <w:r w:rsidR="00E66975">
        <w:rPr>
          <w:szCs w:val="22"/>
        </w:rPr>
        <w:t xml:space="preserve"> (the Department)</w:t>
      </w:r>
      <w:r w:rsidR="00F85AFE">
        <w:rPr>
          <w:szCs w:val="22"/>
        </w:rPr>
        <w:t xml:space="preserve"> </w:t>
      </w:r>
      <w:r w:rsidRPr="00867595">
        <w:rPr>
          <w:szCs w:val="22"/>
        </w:rPr>
        <w:t xml:space="preserve">provides an email advice service for providers seeking advice on interpretation of the MBS items and rules and the </w:t>
      </w:r>
      <w:r w:rsidRPr="00E71492">
        <w:rPr>
          <w:i/>
          <w:iCs/>
          <w:szCs w:val="22"/>
        </w:rPr>
        <w:t>Health Insurance 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lastRenderedPageBreak/>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3"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4"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6" w:history="1">
        <w:r w:rsidR="00C02732" w:rsidRPr="00C02732">
          <w:rPr>
            <w:rStyle w:val="Hyperlink"/>
            <w:szCs w:val="22"/>
          </w:rPr>
          <w:t>Downloads</w:t>
        </w:r>
      </w:hyperlink>
      <w:r w:rsidRPr="00867595">
        <w:rPr>
          <w:szCs w:val="22"/>
        </w:rPr>
        <w:t xml:space="preserve"> page.</w:t>
      </w:r>
    </w:p>
    <w:p w14:paraId="6D6EB19D" w14:textId="551651A1" w:rsidR="00BE3ED5" w:rsidRDefault="005F040A" w:rsidP="00BE3ED5">
      <w:pPr>
        <w:pStyle w:val="Heading2"/>
      </w:pPr>
      <w:r>
        <w:t xml:space="preserve">Current </w:t>
      </w:r>
      <w:r w:rsidR="00BE3ED5" w:rsidRPr="007A32E7">
        <w:t xml:space="preserve">item descriptors </w:t>
      </w:r>
      <w:r w:rsidR="00272CD4">
        <w:t xml:space="preserve">– </w:t>
      </w:r>
      <w:r w:rsidR="00F71CC3">
        <w:rPr>
          <w:sz w:val="24"/>
          <w:szCs w:val="24"/>
        </w:rPr>
        <w:t>current</w:t>
      </w:r>
      <w:r w:rsidR="00F71CC3" w:rsidRPr="00307248">
        <w:rPr>
          <w:sz w:val="24"/>
          <w:szCs w:val="24"/>
        </w:rPr>
        <w:t xml:space="preserve"> </w:t>
      </w:r>
      <w:r w:rsidR="00272CD4" w:rsidRPr="00307248">
        <w:rPr>
          <w:sz w:val="24"/>
          <w:szCs w:val="24"/>
        </w:rPr>
        <w:t xml:space="preserve">fees </w:t>
      </w:r>
      <w:r w:rsidR="00F71CC3">
        <w:rPr>
          <w:sz w:val="24"/>
          <w:szCs w:val="24"/>
        </w:rPr>
        <w:t xml:space="preserve">as </w:t>
      </w:r>
      <w:proofErr w:type="gramStart"/>
      <w:r w:rsidR="00F71CC3">
        <w:rPr>
          <w:sz w:val="24"/>
          <w:szCs w:val="24"/>
        </w:rPr>
        <w:t>at</w:t>
      </w:r>
      <w:proofErr w:type="gramEnd"/>
      <w:r w:rsidR="00F71CC3">
        <w:rPr>
          <w:sz w:val="24"/>
          <w:szCs w:val="24"/>
        </w:rPr>
        <w:t xml:space="preserve"> </w:t>
      </w:r>
      <w:r w:rsidR="00272CD4" w:rsidRPr="00307248">
        <w:rPr>
          <w:sz w:val="24"/>
          <w:szCs w:val="24"/>
        </w:rPr>
        <w:t>February 2025</w:t>
      </w:r>
      <w:r w:rsidR="000C5F4A">
        <w:t>.</w:t>
      </w:r>
    </w:p>
    <w:tbl>
      <w:tblPr>
        <w:tblStyle w:val="GridTable4-Accent2"/>
        <w:tblW w:w="0" w:type="auto"/>
        <w:tblLook w:val="04A0" w:firstRow="1" w:lastRow="0" w:firstColumn="1" w:lastColumn="0" w:noHBand="0" w:noVBand="1"/>
      </w:tblPr>
      <w:tblGrid>
        <w:gridCol w:w="9060"/>
      </w:tblGrid>
      <w:tr w:rsidR="00BE3ED5" w14:paraId="148B360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17C38221" w:rsidR="00BE3ED5" w:rsidRDefault="008437CA">
            <w:pPr>
              <w:rPr>
                <w:b w:val="0"/>
                <w:bCs w:val="0"/>
                <w:lang w:eastAsia="en-AU"/>
              </w:rPr>
            </w:pPr>
            <w:bookmarkStart w:id="5" w:name="_Hlk118987208"/>
            <w:r>
              <w:rPr>
                <w:lang w:eastAsia="en-AU"/>
              </w:rPr>
              <w:t>Category</w:t>
            </w:r>
            <w:r w:rsidR="00A344C3">
              <w:rPr>
                <w:lang w:eastAsia="en-AU"/>
              </w:rPr>
              <w:t xml:space="preserve"> 1 Professional attendances</w:t>
            </w:r>
          </w:p>
        </w:tc>
      </w:tr>
      <w:tr w:rsidR="00BE3ED5" w14:paraId="4C44E0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6039CCA9" w:rsidR="00BE3ED5" w:rsidRDefault="008437CA">
            <w:pPr>
              <w:rPr>
                <w:b w:val="0"/>
                <w:bCs w:val="0"/>
                <w:lang w:eastAsia="en-AU"/>
              </w:rPr>
            </w:pPr>
            <w:r>
              <w:rPr>
                <w:lang w:eastAsia="en-AU"/>
              </w:rPr>
              <w:t>Group</w:t>
            </w:r>
            <w:r w:rsidR="00A344C3">
              <w:rPr>
                <w:lang w:eastAsia="en-AU"/>
              </w:rPr>
              <w:t xml:space="preserve"> A28 Geriatric Medicine</w:t>
            </w:r>
          </w:p>
        </w:tc>
      </w:tr>
      <w:tr w:rsidR="00642F20" w14:paraId="25FF7AAD" w14:textId="77777777">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0530C07C" w:rsidR="00642F20" w:rsidRPr="00642F20" w:rsidRDefault="00C05B58" w:rsidP="00642F20">
            <w:pPr>
              <w:rPr>
                <w:b w:val="0"/>
                <w:bCs w:val="0"/>
              </w:rPr>
            </w:pPr>
            <w:r>
              <w:rPr>
                <w:b w:val="0"/>
                <w:bCs w:val="0"/>
              </w:rPr>
              <w:t xml:space="preserve">Item </w:t>
            </w:r>
            <w:r w:rsidR="00A344C3">
              <w:rPr>
                <w:b w:val="0"/>
                <w:bCs w:val="0"/>
              </w:rPr>
              <w:t>141</w:t>
            </w:r>
          </w:p>
          <w:p w14:paraId="639EC0DE" w14:textId="2BCAA823" w:rsidR="00672DDD" w:rsidRPr="00672DDD" w:rsidRDefault="00672DDD" w:rsidP="00672DDD">
            <w:pPr>
              <w:rPr>
                <w:b w:val="0"/>
                <w:bCs w:val="0"/>
              </w:rPr>
            </w:pPr>
            <w:r w:rsidRPr="00672DDD">
              <w:rPr>
                <w:b w:val="0"/>
                <w:bCs w:val="0"/>
              </w:rPr>
              <w:t xml:space="preserve">Professional attendance </w:t>
            </w:r>
            <w:r w:rsidR="00570152">
              <w:rPr>
                <w:b w:val="0"/>
                <w:bCs w:val="0"/>
              </w:rPr>
              <w:t>lasting</w:t>
            </w:r>
            <w:r w:rsidRPr="00672DDD">
              <w:rPr>
                <w:b w:val="0"/>
                <w:bCs w:val="0"/>
              </w:rPr>
              <w:t xml:space="preserve"> more than 60 minutes</w:t>
            </w:r>
            <w:r w:rsidR="00570152">
              <w:rPr>
                <w:b w:val="0"/>
                <w:bCs w:val="0"/>
              </w:rPr>
              <w:t xml:space="preserve"> </w:t>
            </w:r>
            <w:r w:rsidRPr="00672DDD">
              <w:rPr>
                <w:b w:val="0"/>
                <w:bCs w:val="0"/>
              </w:rPr>
              <w:t>at consulting rooms or hospital by a consultant physician or specialist in the practice of the consultant physician's or specialist's specialty of geriatric medicine, if:</w:t>
            </w:r>
          </w:p>
          <w:p w14:paraId="5C59FFC1" w14:textId="77777777" w:rsidR="00672DDD" w:rsidRPr="00672DDD" w:rsidRDefault="00672DDD" w:rsidP="00672DDD">
            <w:pPr>
              <w:rPr>
                <w:b w:val="0"/>
                <w:bCs w:val="0"/>
              </w:rPr>
            </w:pPr>
            <w:r w:rsidRPr="00672DDD">
              <w:rPr>
                <w:b w:val="0"/>
                <w:bCs w:val="0"/>
              </w:rPr>
              <w:t>(a) the patient is at least 65 years old and referred by a medical practitioner practising in general practice (including a general practitioner, but not including a specialist or consultant physician) or a participating nurse practitioner; and</w:t>
            </w:r>
          </w:p>
          <w:p w14:paraId="03B579AA" w14:textId="77777777" w:rsidR="00672DDD" w:rsidRPr="00672DDD" w:rsidRDefault="00672DDD" w:rsidP="00672DDD">
            <w:pPr>
              <w:rPr>
                <w:b w:val="0"/>
                <w:bCs w:val="0"/>
              </w:rPr>
            </w:pPr>
            <w:r w:rsidRPr="00672DDD">
              <w:rPr>
                <w:b w:val="0"/>
                <w:bCs w:val="0"/>
              </w:rPr>
              <w:t>(b) the attendance is initiated by the referring practitioner for the provision of a comprehensive assessment and management plan; and</w:t>
            </w:r>
          </w:p>
          <w:p w14:paraId="64092D79" w14:textId="77777777" w:rsidR="00672DDD" w:rsidRPr="00672DDD" w:rsidRDefault="00672DDD" w:rsidP="00672DDD">
            <w:pPr>
              <w:rPr>
                <w:b w:val="0"/>
                <w:bCs w:val="0"/>
              </w:rPr>
            </w:pPr>
            <w:r w:rsidRPr="00672DDD">
              <w:rPr>
                <w:b w:val="0"/>
                <w:bCs w:val="0"/>
              </w:rPr>
              <w:t>(c) during the attendance:</w:t>
            </w:r>
          </w:p>
          <w:p w14:paraId="4F225612" w14:textId="77777777" w:rsidR="00672DDD" w:rsidRPr="00672DDD" w:rsidRDefault="00672DDD" w:rsidP="00672DDD">
            <w:pPr>
              <w:rPr>
                <w:b w:val="0"/>
                <w:bCs w:val="0"/>
              </w:rPr>
            </w:pPr>
            <w:r w:rsidRPr="00672DDD">
              <w:rPr>
                <w:b w:val="0"/>
                <w:bCs w:val="0"/>
              </w:rPr>
              <w:t>     (</w:t>
            </w:r>
            <w:proofErr w:type="spellStart"/>
            <w:r w:rsidRPr="00672DDD">
              <w:rPr>
                <w:b w:val="0"/>
                <w:bCs w:val="0"/>
              </w:rPr>
              <w:t>i</w:t>
            </w:r>
            <w:proofErr w:type="spellEnd"/>
            <w:r w:rsidRPr="00672DDD">
              <w:rPr>
                <w:b w:val="0"/>
                <w:bCs w:val="0"/>
              </w:rPr>
              <w:t>) the medical, physical, psychological and social aspects of the patient's health are evaluated in detail using appropriately validated assessment tools if indicated (the assessment); and</w:t>
            </w:r>
          </w:p>
          <w:p w14:paraId="734CC594" w14:textId="77777777" w:rsidR="00672DDD" w:rsidRPr="00672DDD" w:rsidRDefault="00672DDD" w:rsidP="00672DDD">
            <w:pPr>
              <w:rPr>
                <w:b w:val="0"/>
                <w:bCs w:val="0"/>
              </w:rPr>
            </w:pPr>
            <w:r w:rsidRPr="00672DDD">
              <w:rPr>
                <w:b w:val="0"/>
                <w:bCs w:val="0"/>
              </w:rPr>
              <w:t>     (ii) the patient's various health problems and care needs are identified and prioritised (the formulation); and</w:t>
            </w:r>
          </w:p>
          <w:p w14:paraId="6344C52F" w14:textId="77777777" w:rsidR="00672DDD" w:rsidRPr="00672DDD" w:rsidRDefault="00672DDD" w:rsidP="00672DDD">
            <w:pPr>
              <w:rPr>
                <w:b w:val="0"/>
                <w:bCs w:val="0"/>
              </w:rPr>
            </w:pPr>
            <w:r w:rsidRPr="00672DDD">
              <w:rPr>
                <w:b w:val="0"/>
                <w:bCs w:val="0"/>
              </w:rPr>
              <w:t>     (iii) a detailed management plan is prepared (the management plan) setting out:</w:t>
            </w:r>
          </w:p>
          <w:p w14:paraId="604D972E" w14:textId="21B7B654" w:rsidR="00672DDD" w:rsidRPr="00672DDD" w:rsidRDefault="00672DDD" w:rsidP="00672DDD">
            <w:pPr>
              <w:rPr>
                <w:b w:val="0"/>
                <w:bCs w:val="0"/>
              </w:rPr>
            </w:pPr>
            <w:r w:rsidRPr="00672DDD">
              <w:rPr>
                <w:b w:val="0"/>
                <w:bCs w:val="0"/>
              </w:rPr>
              <w:t>     </w:t>
            </w:r>
            <w:r w:rsidR="005E0118">
              <w:rPr>
                <w:b w:val="0"/>
                <w:bCs w:val="0"/>
              </w:rPr>
              <w:t xml:space="preserve">     </w:t>
            </w:r>
            <w:r w:rsidRPr="00672DDD">
              <w:rPr>
                <w:b w:val="0"/>
                <w:bCs w:val="0"/>
              </w:rPr>
              <w:t>(A) the prioritised list of health problems and care needs; and</w:t>
            </w:r>
          </w:p>
          <w:p w14:paraId="1BADAA43" w14:textId="77777777" w:rsidR="00672DDD" w:rsidRPr="00672DDD" w:rsidRDefault="00672DDD" w:rsidP="00672DDD">
            <w:pPr>
              <w:rPr>
                <w:b w:val="0"/>
                <w:bCs w:val="0"/>
              </w:rPr>
            </w:pPr>
            <w:r w:rsidRPr="00672DDD">
              <w:rPr>
                <w:b w:val="0"/>
                <w:bCs w:val="0"/>
              </w:rPr>
              <w:t xml:space="preserve">          (B) </w:t>
            </w:r>
            <w:proofErr w:type="gramStart"/>
            <w:r w:rsidRPr="00672DDD">
              <w:rPr>
                <w:b w:val="0"/>
                <w:bCs w:val="0"/>
              </w:rPr>
              <w:t>short and longer term</w:t>
            </w:r>
            <w:proofErr w:type="gramEnd"/>
            <w:r w:rsidRPr="00672DDD">
              <w:rPr>
                <w:b w:val="0"/>
                <w:bCs w:val="0"/>
              </w:rPr>
              <w:t xml:space="preserve"> management goals; and</w:t>
            </w:r>
          </w:p>
          <w:p w14:paraId="70698B0D" w14:textId="77777777" w:rsidR="00672DDD" w:rsidRPr="00672DDD" w:rsidRDefault="00672DDD" w:rsidP="00672DDD">
            <w:pPr>
              <w:rPr>
                <w:b w:val="0"/>
                <w:bCs w:val="0"/>
              </w:rPr>
            </w:pPr>
            <w:r w:rsidRPr="00672DDD">
              <w:rPr>
                <w:b w:val="0"/>
                <w:bCs w:val="0"/>
              </w:rPr>
              <w:lastRenderedPageBreak/>
              <w:t>          (C)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w:t>
            </w:r>
          </w:p>
          <w:p w14:paraId="6D2DD1D1" w14:textId="11D73E9B" w:rsidR="005E0118" w:rsidRPr="005E0118" w:rsidRDefault="00672DDD" w:rsidP="00672DDD">
            <w:r w:rsidRPr="00672DDD">
              <w:rPr>
                <w:b w:val="0"/>
                <w:bCs w:val="0"/>
              </w:rPr>
              <w:t>    (iv) the management plan is explained and discussed with the patient and, if appropriate, the patient's family and any carers; and</w:t>
            </w:r>
          </w:p>
          <w:p w14:paraId="0B384093" w14:textId="77777777" w:rsidR="00672DDD" w:rsidRPr="00672DDD" w:rsidRDefault="00672DDD" w:rsidP="00672DDD">
            <w:pPr>
              <w:rPr>
                <w:b w:val="0"/>
                <w:bCs w:val="0"/>
              </w:rPr>
            </w:pPr>
            <w:r w:rsidRPr="00672DDD">
              <w:rPr>
                <w:b w:val="0"/>
                <w:bCs w:val="0"/>
              </w:rPr>
              <w:t>    (v) the management plan is communicated in writing to the referring practitioner; and</w:t>
            </w:r>
          </w:p>
          <w:p w14:paraId="0812011A" w14:textId="77777777" w:rsidR="00672DDD" w:rsidRPr="00672DDD" w:rsidRDefault="00672DDD" w:rsidP="00672DDD">
            <w:pPr>
              <w:rPr>
                <w:b w:val="0"/>
                <w:bCs w:val="0"/>
              </w:rPr>
            </w:pPr>
            <w:r w:rsidRPr="00672DDD">
              <w:rPr>
                <w:b w:val="0"/>
                <w:bCs w:val="0"/>
              </w:rPr>
              <w:t>(d) an attendance to which item 104, 105, 107, 108, 110, 116 or 119 applies has not been provided to the patient on the same day by the same practitioner; and</w:t>
            </w:r>
          </w:p>
          <w:p w14:paraId="35C0F0AD" w14:textId="77777777" w:rsidR="00672DDD" w:rsidRDefault="00672DDD" w:rsidP="00672DDD">
            <w:r w:rsidRPr="00672DDD">
              <w:rPr>
                <w:b w:val="0"/>
                <w:bCs w:val="0"/>
              </w:rPr>
              <w:t>(e) an attendance to which this item or item 145 applies has not been provided to the patient by the same practitioner in the preceding 12 months</w:t>
            </w:r>
          </w:p>
          <w:p w14:paraId="3D04ECDA" w14:textId="77777777" w:rsidR="00CC7836" w:rsidRPr="00F1152A" w:rsidRDefault="00CC7836" w:rsidP="00CC7836">
            <w:pPr>
              <w:rPr>
                <w:b w:val="0"/>
                <w:bCs w:val="0"/>
              </w:rPr>
            </w:pPr>
            <w:r w:rsidRPr="00F1152A">
              <w:t>Fee:</w:t>
            </w:r>
            <w:r w:rsidRPr="00F1152A">
              <w:rPr>
                <w:b w:val="0"/>
                <w:bCs w:val="0"/>
              </w:rPr>
              <w:t> $523.40</w:t>
            </w:r>
            <w:r w:rsidRPr="00F1152A">
              <w:t> Benefit:</w:t>
            </w:r>
            <w:r w:rsidRPr="00F1152A">
              <w:rPr>
                <w:b w:val="0"/>
                <w:bCs w:val="0"/>
              </w:rPr>
              <w:t> 75% = $392.55 85% = $444.90</w:t>
            </w:r>
          </w:p>
          <w:p w14:paraId="00FF3D84" w14:textId="77777777" w:rsidR="00CC7836" w:rsidRPr="00F1152A" w:rsidRDefault="00CC7836" w:rsidP="00CC7836">
            <w:pPr>
              <w:rPr>
                <w:b w:val="0"/>
                <w:bCs w:val="0"/>
              </w:rPr>
            </w:pPr>
            <w:r w:rsidRPr="00F1152A">
              <w:rPr>
                <w:b w:val="0"/>
                <w:bCs w:val="0"/>
              </w:rPr>
              <w:t>(See para </w:t>
            </w:r>
            <w:hyperlink r:id="rId17" w:history="1">
              <w:r w:rsidRPr="00F1152A">
                <w:rPr>
                  <w:rStyle w:val="Hyperlink"/>
                </w:rPr>
                <w:t>AN.0.26</w:t>
              </w:r>
            </w:hyperlink>
            <w:r w:rsidRPr="00F1152A">
              <w:t>, </w:t>
            </w:r>
            <w:hyperlink r:id="rId18" w:history="1">
              <w:r w:rsidRPr="00F1152A">
                <w:rPr>
                  <w:rStyle w:val="Hyperlink"/>
                </w:rPr>
                <w:t>AN.40.1</w:t>
              </w:r>
            </w:hyperlink>
            <w:r w:rsidRPr="00F1152A">
              <w:t> </w:t>
            </w:r>
            <w:r w:rsidRPr="00F1152A">
              <w:rPr>
                <w:b w:val="0"/>
                <w:bCs w:val="0"/>
              </w:rPr>
              <w:t>of explanatory notes to this Category)</w:t>
            </w:r>
          </w:p>
          <w:p w14:paraId="050BD116" w14:textId="77777777" w:rsidR="00CC7836" w:rsidRPr="00CC7836" w:rsidRDefault="00CC7836" w:rsidP="00CC7836">
            <w:hyperlink r:id="rId19" w:history="1">
              <w:r w:rsidRPr="004B5E38">
                <w:rPr>
                  <w:rStyle w:val="Hyperlink"/>
                </w:rPr>
                <w:t>Extended Medicare Safety Net Cap:</w:t>
              </w:r>
            </w:hyperlink>
            <w:r w:rsidRPr="00CC7836">
              <w:t> </w:t>
            </w:r>
            <w:r w:rsidRPr="00F1152A">
              <w:rPr>
                <w:b w:val="0"/>
                <w:bCs w:val="0"/>
              </w:rPr>
              <w:t>$500.00</w:t>
            </w:r>
          </w:p>
          <w:p w14:paraId="2BDF063F" w14:textId="4247CC45" w:rsidR="00642F20" w:rsidRPr="00AA6575" w:rsidRDefault="00642F20" w:rsidP="009351EB"/>
        </w:tc>
      </w:tr>
      <w:tr w:rsidR="00642F20" w14:paraId="398A0C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1ABB8F75" w:rsidR="00642F20" w:rsidRPr="00642F20" w:rsidRDefault="00C05B58" w:rsidP="00642F20">
            <w:pPr>
              <w:rPr>
                <w:b w:val="0"/>
                <w:bCs w:val="0"/>
              </w:rPr>
            </w:pPr>
            <w:r>
              <w:rPr>
                <w:b w:val="0"/>
                <w:bCs w:val="0"/>
              </w:rPr>
              <w:lastRenderedPageBreak/>
              <w:t xml:space="preserve">Item </w:t>
            </w:r>
            <w:r w:rsidR="00B77427">
              <w:rPr>
                <w:b w:val="0"/>
                <w:bCs w:val="0"/>
              </w:rPr>
              <w:t>143</w:t>
            </w:r>
          </w:p>
          <w:p w14:paraId="1831D1E5" w14:textId="49419CA1" w:rsidR="00777375" w:rsidRPr="00777375" w:rsidRDefault="00777375" w:rsidP="00777375">
            <w:pPr>
              <w:shd w:val="clear" w:color="auto" w:fill="FBFBFB"/>
              <w:spacing w:before="0" w:after="240" w:line="300" w:lineRule="atLeast"/>
              <w:rPr>
                <w:b w:val="0"/>
                <w:bCs w:val="0"/>
              </w:rPr>
            </w:pPr>
            <w:r w:rsidRPr="00777375">
              <w:rPr>
                <w:b w:val="0"/>
                <w:bCs w:val="0"/>
              </w:rPr>
              <w:t xml:space="preserve">Professional attendance </w:t>
            </w:r>
            <w:r w:rsidR="00570152">
              <w:rPr>
                <w:b w:val="0"/>
                <w:bCs w:val="0"/>
              </w:rPr>
              <w:t>lasting</w:t>
            </w:r>
            <w:r w:rsidRPr="00777375">
              <w:rPr>
                <w:b w:val="0"/>
                <w:bCs w:val="0"/>
              </w:rPr>
              <w:t xml:space="preserve"> more than 30 minutes</w:t>
            </w:r>
            <w:r w:rsidR="00570152">
              <w:rPr>
                <w:b w:val="0"/>
                <w:bCs w:val="0"/>
              </w:rPr>
              <w:t xml:space="preserve"> </w:t>
            </w:r>
            <w:r w:rsidRPr="00777375">
              <w:rPr>
                <w:b w:val="0"/>
                <w:bCs w:val="0"/>
              </w:rPr>
              <w:t>at consulting rooms or hospital by a consultant physician or specialist in the practice of the consultant physician's or specialist's specialty of geriatric medicine to review a management plan previously prepared by that consultant physician or specialist under item 141 or 145, if:</w:t>
            </w:r>
          </w:p>
          <w:p w14:paraId="4A4E0440" w14:textId="77777777" w:rsidR="00777375" w:rsidRPr="00777375" w:rsidRDefault="00777375" w:rsidP="00777375">
            <w:pPr>
              <w:shd w:val="clear" w:color="auto" w:fill="FBFBFB"/>
              <w:spacing w:before="0" w:after="240" w:line="300" w:lineRule="atLeast"/>
              <w:rPr>
                <w:b w:val="0"/>
                <w:bCs w:val="0"/>
              </w:rPr>
            </w:pPr>
            <w:r w:rsidRPr="00777375">
              <w:rPr>
                <w:b w:val="0"/>
                <w:bCs w:val="0"/>
              </w:rPr>
              <w:t>(a) the review is initiated by the referring medical practitioner practising in general practice or a participating nurse practitioner; and</w:t>
            </w:r>
          </w:p>
          <w:p w14:paraId="71845E0E" w14:textId="77777777" w:rsidR="005E0118" w:rsidRDefault="00777375" w:rsidP="00777375">
            <w:pPr>
              <w:shd w:val="clear" w:color="auto" w:fill="FBFBFB"/>
              <w:spacing w:before="0" w:after="240" w:line="300" w:lineRule="atLeast"/>
            </w:pPr>
            <w:r w:rsidRPr="00777375">
              <w:rPr>
                <w:b w:val="0"/>
                <w:bCs w:val="0"/>
              </w:rPr>
              <w:t>(b) during the attendance:</w:t>
            </w:r>
          </w:p>
          <w:p w14:paraId="323E2005" w14:textId="660E54C0" w:rsidR="00777375" w:rsidRPr="00777375" w:rsidRDefault="005E0118" w:rsidP="00777375">
            <w:pPr>
              <w:shd w:val="clear" w:color="auto" w:fill="FBFBFB"/>
              <w:spacing w:before="0" w:after="240" w:line="300" w:lineRule="atLeast"/>
              <w:rPr>
                <w:b w:val="0"/>
                <w:bCs w:val="0"/>
              </w:rPr>
            </w:pPr>
            <w:r>
              <w:rPr>
                <w:b w:val="0"/>
                <w:bCs w:val="0"/>
              </w:rPr>
              <w:t xml:space="preserve">     </w:t>
            </w:r>
            <w:r w:rsidR="00777375" w:rsidRPr="00777375">
              <w:rPr>
                <w:b w:val="0"/>
                <w:bCs w:val="0"/>
              </w:rPr>
              <w:t>(</w:t>
            </w:r>
            <w:proofErr w:type="spellStart"/>
            <w:r w:rsidR="00777375" w:rsidRPr="00777375">
              <w:rPr>
                <w:b w:val="0"/>
                <w:bCs w:val="0"/>
              </w:rPr>
              <w:t>i</w:t>
            </w:r>
            <w:proofErr w:type="spellEnd"/>
            <w:r w:rsidR="00777375" w:rsidRPr="00777375">
              <w:rPr>
                <w:b w:val="0"/>
                <w:bCs w:val="0"/>
              </w:rPr>
              <w:t>) the patient's health status is reassessed; and</w:t>
            </w:r>
          </w:p>
          <w:p w14:paraId="145F3E3B" w14:textId="77777777" w:rsidR="00777375" w:rsidRPr="00777375" w:rsidRDefault="00777375" w:rsidP="00777375">
            <w:pPr>
              <w:shd w:val="clear" w:color="auto" w:fill="FBFBFB"/>
              <w:spacing w:before="0" w:after="240" w:line="300" w:lineRule="atLeast"/>
              <w:rPr>
                <w:b w:val="0"/>
                <w:bCs w:val="0"/>
              </w:rPr>
            </w:pPr>
            <w:r w:rsidRPr="00777375">
              <w:rPr>
                <w:b w:val="0"/>
                <w:bCs w:val="0"/>
              </w:rPr>
              <w:t>     (ii) a management plan prepared under item 141 or 145 is reviewed and revised; and</w:t>
            </w:r>
          </w:p>
          <w:p w14:paraId="24E30BD1" w14:textId="77777777" w:rsidR="00777375" w:rsidRPr="00777375" w:rsidRDefault="00777375" w:rsidP="00777375">
            <w:pPr>
              <w:shd w:val="clear" w:color="auto" w:fill="FBFBFB"/>
              <w:spacing w:before="0" w:after="240" w:line="300" w:lineRule="atLeast"/>
              <w:rPr>
                <w:b w:val="0"/>
                <w:bCs w:val="0"/>
              </w:rPr>
            </w:pPr>
            <w:r w:rsidRPr="00777375">
              <w:rPr>
                <w:b w:val="0"/>
                <w:bCs w:val="0"/>
              </w:rPr>
              <w:t>     (iii) the revised management plan is explained to the patient and (if appropriate) the patient's family and any carers and communicated in writing to the referring practitioner; and</w:t>
            </w:r>
          </w:p>
          <w:p w14:paraId="3549151D" w14:textId="77777777" w:rsidR="00777375" w:rsidRPr="00777375" w:rsidRDefault="00777375" w:rsidP="00777375">
            <w:pPr>
              <w:shd w:val="clear" w:color="auto" w:fill="FBFBFB"/>
              <w:spacing w:before="0" w:after="240" w:line="300" w:lineRule="atLeast"/>
              <w:rPr>
                <w:b w:val="0"/>
                <w:bCs w:val="0"/>
              </w:rPr>
            </w:pPr>
            <w:r w:rsidRPr="00777375">
              <w:rPr>
                <w:b w:val="0"/>
                <w:bCs w:val="0"/>
              </w:rPr>
              <w:t>(c) an attendance to which item 104, 105, 107, 108, 110, 116 or 119 applies was not provided to the patient on the same day by the same practitioner; and</w:t>
            </w:r>
          </w:p>
          <w:p w14:paraId="4FBBB840" w14:textId="77777777" w:rsidR="00777375" w:rsidRPr="00777375" w:rsidRDefault="00777375" w:rsidP="00777375">
            <w:pPr>
              <w:shd w:val="clear" w:color="auto" w:fill="FBFBFB"/>
              <w:spacing w:before="0" w:after="240" w:line="300" w:lineRule="atLeast"/>
              <w:rPr>
                <w:b w:val="0"/>
                <w:bCs w:val="0"/>
              </w:rPr>
            </w:pPr>
            <w:r w:rsidRPr="00777375">
              <w:rPr>
                <w:b w:val="0"/>
                <w:bCs w:val="0"/>
              </w:rPr>
              <w:t>(d) an attendance to which item 141 or 145 applies has been provided to the patient by the same practitioner in the preceding 12 months; and</w:t>
            </w:r>
          </w:p>
          <w:p w14:paraId="6F984A5C" w14:textId="4A1CA942" w:rsidR="00777375" w:rsidRDefault="00777375" w:rsidP="00777375">
            <w:pPr>
              <w:shd w:val="clear" w:color="auto" w:fill="FBFBFB"/>
              <w:spacing w:before="0" w:after="240" w:line="300" w:lineRule="atLeast"/>
            </w:pPr>
            <w:r w:rsidRPr="00777375">
              <w:rPr>
                <w:b w:val="0"/>
                <w:bCs w:val="0"/>
              </w:rPr>
              <w:lastRenderedPageBreak/>
              <w:t>(e) an attendance to which this item or item 147 applies has not been provided to the patient in the preceding 12 months, unless there has been a significant change in the patient's clinical condition or care circumstances that requires a further review</w:t>
            </w:r>
            <w:r w:rsidR="00CC7836">
              <w:rPr>
                <w:b w:val="0"/>
                <w:bCs w:val="0"/>
              </w:rPr>
              <w:t xml:space="preserve">. </w:t>
            </w:r>
          </w:p>
          <w:p w14:paraId="7C0CF45D" w14:textId="77777777" w:rsidR="00CC7836" w:rsidRPr="00F1152A" w:rsidRDefault="00CC7836" w:rsidP="00CC7836">
            <w:pPr>
              <w:shd w:val="clear" w:color="auto" w:fill="FBFBFB"/>
              <w:spacing w:before="0" w:after="240" w:line="300" w:lineRule="atLeast"/>
              <w:rPr>
                <w:b w:val="0"/>
                <w:bCs w:val="0"/>
              </w:rPr>
            </w:pPr>
            <w:r w:rsidRPr="00F1152A">
              <w:t>Fee:</w:t>
            </w:r>
            <w:r w:rsidRPr="00F1152A">
              <w:rPr>
                <w:b w:val="0"/>
                <w:bCs w:val="0"/>
              </w:rPr>
              <w:t> $327.20 </w:t>
            </w:r>
            <w:r w:rsidRPr="00F1152A">
              <w:t>Benefit: </w:t>
            </w:r>
            <w:r w:rsidRPr="00F1152A">
              <w:rPr>
                <w:b w:val="0"/>
                <w:bCs w:val="0"/>
              </w:rPr>
              <w:t>75% = $245.40 85% = $278.15</w:t>
            </w:r>
          </w:p>
          <w:p w14:paraId="18077E90" w14:textId="77777777" w:rsidR="00CC7836" w:rsidRPr="00F1152A" w:rsidRDefault="00CC7836" w:rsidP="00CC7836">
            <w:pPr>
              <w:shd w:val="clear" w:color="auto" w:fill="FBFBFB"/>
              <w:spacing w:before="0" w:after="240" w:line="300" w:lineRule="atLeast"/>
              <w:rPr>
                <w:b w:val="0"/>
                <w:bCs w:val="0"/>
              </w:rPr>
            </w:pPr>
            <w:r w:rsidRPr="00F1152A">
              <w:rPr>
                <w:b w:val="0"/>
                <w:bCs w:val="0"/>
              </w:rPr>
              <w:t>(See para </w:t>
            </w:r>
            <w:hyperlink r:id="rId20" w:history="1">
              <w:r w:rsidRPr="00F1152A">
                <w:rPr>
                  <w:rStyle w:val="Hyperlink"/>
                </w:rPr>
                <w:t>AN.0.26</w:t>
              </w:r>
            </w:hyperlink>
            <w:r w:rsidRPr="00F1152A">
              <w:t>, </w:t>
            </w:r>
            <w:hyperlink r:id="rId21" w:history="1">
              <w:r w:rsidRPr="00F1152A">
                <w:rPr>
                  <w:rStyle w:val="Hyperlink"/>
                </w:rPr>
                <w:t>AN.40.1</w:t>
              </w:r>
            </w:hyperlink>
            <w:r w:rsidRPr="00F1152A">
              <w:t> </w:t>
            </w:r>
            <w:r w:rsidRPr="00F1152A">
              <w:rPr>
                <w:b w:val="0"/>
                <w:bCs w:val="0"/>
              </w:rPr>
              <w:t>of explanatory notes to this Category)</w:t>
            </w:r>
          </w:p>
          <w:p w14:paraId="728F07A4" w14:textId="77777777" w:rsidR="00CC7836" w:rsidRPr="00307248" w:rsidRDefault="00CC7836" w:rsidP="00CC7836">
            <w:pPr>
              <w:shd w:val="clear" w:color="auto" w:fill="FBFBFB"/>
              <w:spacing w:before="0" w:after="240" w:line="300" w:lineRule="atLeast"/>
              <w:rPr>
                <w:b w:val="0"/>
                <w:bCs w:val="0"/>
              </w:rPr>
            </w:pPr>
            <w:hyperlink r:id="rId22" w:history="1">
              <w:r w:rsidRPr="004B5E38">
                <w:rPr>
                  <w:rStyle w:val="Hyperlink"/>
                </w:rPr>
                <w:t>Extended Medicare Safety Net Cap:</w:t>
              </w:r>
            </w:hyperlink>
            <w:r w:rsidRPr="004B5E38">
              <w:t> </w:t>
            </w:r>
            <w:r w:rsidRPr="00F1152A">
              <w:rPr>
                <w:b w:val="0"/>
                <w:bCs w:val="0"/>
              </w:rPr>
              <w:t>$500.00</w:t>
            </w:r>
          </w:p>
          <w:p w14:paraId="2F786A12" w14:textId="57744D56" w:rsidR="00642F20" w:rsidRPr="000A395F" w:rsidRDefault="00642F20" w:rsidP="009351EB">
            <w:pPr>
              <w:shd w:val="clear" w:color="auto" w:fill="FBFBFB"/>
              <w:spacing w:before="0" w:after="240" w:line="300" w:lineRule="atLeast"/>
              <w:rPr>
                <w:b w:val="0"/>
                <w:bCs w:val="0"/>
              </w:rPr>
            </w:pPr>
          </w:p>
        </w:tc>
      </w:tr>
      <w:tr w:rsidR="00B246A5" w14:paraId="4EF4B46F" w14:textId="77777777">
        <w:tc>
          <w:tcPr>
            <w:cnfStyle w:val="001000000000" w:firstRow="0" w:lastRow="0" w:firstColumn="1" w:lastColumn="0" w:oddVBand="0" w:evenVBand="0" w:oddHBand="0" w:evenHBand="0" w:firstRowFirstColumn="0" w:firstRowLastColumn="0" w:lastRowFirstColumn="0" w:lastRowLastColumn="0"/>
            <w:tcW w:w="9060" w:type="dxa"/>
          </w:tcPr>
          <w:p w14:paraId="6C6161DF" w14:textId="38F192EB" w:rsidR="000D2381" w:rsidRPr="000A395F" w:rsidRDefault="00C05B58" w:rsidP="000A395F">
            <w:pPr>
              <w:rPr>
                <w:b w:val="0"/>
                <w:bCs w:val="0"/>
              </w:rPr>
            </w:pPr>
            <w:r>
              <w:rPr>
                <w:b w:val="0"/>
                <w:bCs w:val="0"/>
              </w:rPr>
              <w:lastRenderedPageBreak/>
              <w:t xml:space="preserve">Item </w:t>
            </w:r>
            <w:r w:rsidR="000D2381" w:rsidRPr="000A395F">
              <w:rPr>
                <w:b w:val="0"/>
                <w:bCs w:val="0"/>
              </w:rPr>
              <w:t>145</w:t>
            </w:r>
          </w:p>
          <w:p w14:paraId="0657E116" w14:textId="78B5AAAB" w:rsidR="00CE6B8B" w:rsidRPr="000A395F" w:rsidRDefault="00CE6B8B" w:rsidP="000A395F">
            <w:pPr>
              <w:rPr>
                <w:b w:val="0"/>
                <w:bCs w:val="0"/>
              </w:rPr>
            </w:pPr>
            <w:r w:rsidRPr="000A395F">
              <w:rPr>
                <w:b w:val="0"/>
                <w:bCs w:val="0"/>
              </w:rPr>
              <w:t>Professional attendance lasting more than 60 minutes at a place other than consulting rooms or hospital by a consultant physician or specialist in the practice of the consultant physician’s or specialist’s specialty of geriatric medicine, if:</w:t>
            </w:r>
          </w:p>
          <w:p w14:paraId="7462B45F" w14:textId="77777777" w:rsidR="00CE6B8B" w:rsidRPr="000A395F" w:rsidRDefault="00CE6B8B" w:rsidP="000A395F">
            <w:pPr>
              <w:rPr>
                <w:b w:val="0"/>
                <w:bCs w:val="0"/>
              </w:rPr>
            </w:pPr>
            <w:r w:rsidRPr="000A395F">
              <w:rPr>
                <w:b w:val="0"/>
                <w:bCs w:val="0"/>
              </w:rPr>
              <w:t>(a) the patient is at least 65 years old and referred by a medical practitioner practising in general practice (including a general practitioner, but not including a specialist or consultant physician) or a participating nurse practitioner; and</w:t>
            </w:r>
          </w:p>
          <w:p w14:paraId="09AEA73D" w14:textId="77777777" w:rsidR="00CE6B8B" w:rsidRPr="000A395F" w:rsidRDefault="00CE6B8B" w:rsidP="000A395F">
            <w:pPr>
              <w:rPr>
                <w:b w:val="0"/>
                <w:bCs w:val="0"/>
              </w:rPr>
            </w:pPr>
            <w:r w:rsidRPr="000A395F">
              <w:rPr>
                <w:b w:val="0"/>
                <w:bCs w:val="0"/>
              </w:rPr>
              <w:t>(b) the attendance is initiated by the referring practitioner for the provision of a comprehensive assessment and management plan; and</w:t>
            </w:r>
          </w:p>
          <w:p w14:paraId="0C52730E" w14:textId="77777777" w:rsidR="00CE6B8B" w:rsidRPr="000A395F" w:rsidRDefault="00CE6B8B" w:rsidP="000A395F">
            <w:pPr>
              <w:rPr>
                <w:b w:val="0"/>
                <w:bCs w:val="0"/>
              </w:rPr>
            </w:pPr>
            <w:r w:rsidRPr="000A395F">
              <w:rPr>
                <w:b w:val="0"/>
                <w:bCs w:val="0"/>
              </w:rPr>
              <w:t>(c) during the attendance:</w:t>
            </w:r>
          </w:p>
          <w:p w14:paraId="521493C9" w14:textId="6AED545A" w:rsidR="00CE6B8B" w:rsidRPr="000A395F" w:rsidRDefault="005E0118" w:rsidP="000A395F">
            <w:pPr>
              <w:rPr>
                <w:b w:val="0"/>
                <w:bCs w:val="0"/>
              </w:rPr>
            </w:pPr>
            <w:r>
              <w:rPr>
                <w:b w:val="0"/>
                <w:bCs w:val="0"/>
              </w:rPr>
              <w:t xml:space="preserve">     </w:t>
            </w:r>
            <w:r w:rsidR="00CE6B8B" w:rsidRPr="000A395F">
              <w:rPr>
                <w:b w:val="0"/>
                <w:bCs w:val="0"/>
              </w:rPr>
              <w:t>(</w:t>
            </w:r>
            <w:proofErr w:type="spellStart"/>
            <w:r w:rsidR="00CE6B8B" w:rsidRPr="000A395F">
              <w:rPr>
                <w:b w:val="0"/>
                <w:bCs w:val="0"/>
              </w:rPr>
              <w:t>i</w:t>
            </w:r>
            <w:proofErr w:type="spellEnd"/>
            <w:r w:rsidR="00CE6B8B" w:rsidRPr="000A395F">
              <w:rPr>
                <w:b w:val="0"/>
                <w:bCs w:val="0"/>
              </w:rPr>
              <w:t>) the medical, physical, psychological and social aspects of the patient’s health are evaluated in detail utilising appropriately validated assessment tools if indicated (the assessment); and</w:t>
            </w:r>
          </w:p>
          <w:p w14:paraId="7A766C98" w14:textId="30A7DE26" w:rsidR="00CE6B8B" w:rsidRPr="000A395F" w:rsidRDefault="005E0118" w:rsidP="000A395F">
            <w:pPr>
              <w:rPr>
                <w:b w:val="0"/>
                <w:bCs w:val="0"/>
              </w:rPr>
            </w:pPr>
            <w:r>
              <w:rPr>
                <w:b w:val="0"/>
                <w:bCs w:val="0"/>
              </w:rPr>
              <w:t xml:space="preserve">     </w:t>
            </w:r>
            <w:r w:rsidR="00CE6B8B" w:rsidRPr="000A395F">
              <w:rPr>
                <w:b w:val="0"/>
                <w:bCs w:val="0"/>
              </w:rPr>
              <w:t>(ii) the patient’s various health problems and care needs are identified and prioritised (the formulation); and</w:t>
            </w:r>
          </w:p>
          <w:p w14:paraId="2C30F69C" w14:textId="15E3DABA" w:rsidR="00CE6B8B" w:rsidRPr="000A395F" w:rsidRDefault="005E0118" w:rsidP="000A395F">
            <w:pPr>
              <w:rPr>
                <w:b w:val="0"/>
                <w:bCs w:val="0"/>
              </w:rPr>
            </w:pPr>
            <w:r>
              <w:rPr>
                <w:b w:val="0"/>
                <w:bCs w:val="0"/>
              </w:rPr>
              <w:t xml:space="preserve">     </w:t>
            </w:r>
            <w:r w:rsidR="00CE6B8B" w:rsidRPr="000A395F">
              <w:rPr>
                <w:b w:val="0"/>
                <w:bCs w:val="0"/>
              </w:rPr>
              <w:t>(iii) a detailed management plan is prepared (the management plan) setting out:</w:t>
            </w:r>
          </w:p>
          <w:p w14:paraId="6D718E05" w14:textId="6DF6E8F5" w:rsidR="00CE6B8B" w:rsidRPr="000A395F" w:rsidRDefault="005E0118" w:rsidP="000A395F">
            <w:pPr>
              <w:rPr>
                <w:b w:val="0"/>
                <w:bCs w:val="0"/>
              </w:rPr>
            </w:pPr>
            <w:r>
              <w:rPr>
                <w:b w:val="0"/>
                <w:bCs w:val="0"/>
              </w:rPr>
              <w:t xml:space="preserve">          </w:t>
            </w:r>
            <w:r w:rsidR="00CE6B8B" w:rsidRPr="000A395F">
              <w:rPr>
                <w:b w:val="0"/>
                <w:bCs w:val="0"/>
              </w:rPr>
              <w:t>(A) the prioritised list of health problems and care needs; and</w:t>
            </w:r>
          </w:p>
          <w:p w14:paraId="38623D5E" w14:textId="2A5D6952" w:rsidR="00CE6B8B" w:rsidRPr="000A395F" w:rsidRDefault="005E0118" w:rsidP="000A395F">
            <w:pPr>
              <w:rPr>
                <w:b w:val="0"/>
                <w:bCs w:val="0"/>
              </w:rPr>
            </w:pPr>
            <w:r>
              <w:rPr>
                <w:b w:val="0"/>
                <w:bCs w:val="0"/>
              </w:rPr>
              <w:t xml:space="preserve">          </w:t>
            </w:r>
            <w:r w:rsidR="00CE6B8B" w:rsidRPr="000A395F">
              <w:rPr>
                <w:b w:val="0"/>
                <w:bCs w:val="0"/>
              </w:rPr>
              <w:t xml:space="preserve">(B) </w:t>
            </w:r>
            <w:proofErr w:type="gramStart"/>
            <w:r w:rsidR="00CE6B8B" w:rsidRPr="000A395F">
              <w:rPr>
                <w:b w:val="0"/>
                <w:bCs w:val="0"/>
              </w:rPr>
              <w:t>short and longer term</w:t>
            </w:r>
            <w:proofErr w:type="gramEnd"/>
            <w:r w:rsidR="00CE6B8B" w:rsidRPr="000A395F">
              <w:rPr>
                <w:b w:val="0"/>
                <w:bCs w:val="0"/>
              </w:rPr>
              <w:t xml:space="preserve"> management goals; and</w:t>
            </w:r>
          </w:p>
          <w:p w14:paraId="2BD91A30" w14:textId="010C3AED" w:rsidR="00CE6B8B" w:rsidRPr="000A395F" w:rsidRDefault="005E0118" w:rsidP="000A395F">
            <w:pPr>
              <w:rPr>
                <w:b w:val="0"/>
                <w:bCs w:val="0"/>
              </w:rPr>
            </w:pPr>
            <w:r>
              <w:rPr>
                <w:b w:val="0"/>
                <w:bCs w:val="0"/>
              </w:rPr>
              <w:t xml:space="preserve">          </w:t>
            </w:r>
            <w:r w:rsidR="00CE6B8B" w:rsidRPr="000A395F">
              <w:rPr>
                <w:b w:val="0"/>
                <w:bCs w:val="0"/>
              </w:rPr>
              <w:t>(C)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w:t>
            </w:r>
          </w:p>
          <w:p w14:paraId="42CE7183" w14:textId="5348686E" w:rsidR="00CE6B8B" w:rsidRPr="000A395F" w:rsidRDefault="005E0118" w:rsidP="000A395F">
            <w:pPr>
              <w:rPr>
                <w:b w:val="0"/>
                <w:bCs w:val="0"/>
              </w:rPr>
            </w:pPr>
            <w:r>
              <w:rPr>
                <w:b w:val="0"/>
                <w:bCs w:val="0"/>
              </w:rPr>
              <w:t xml:space="preserve">     </w:t>
            </w:r>
            <w:r w:rsidR="00CE6B8B" w:rsidRPr="000A395F">
              <w:rPr>
                <w:b w:val="0"/>
                <w:bCs w:val="0"/>
              </w:rPr>
              <w:t>(iv) the management plan is explained and discussed with the patient and, if appropriate, the patient’s family and any carers; and</w:t>
            </w:r>
          </w:p>
          <w:p w14:paraId="04E592C6" w14:textId="307E6F14" w:rsidR="00CE6B8B" w:rsidRPr="000A395F" w:rsidRDefault="005E0118" w:rsidP="000A395F">
            <w:pPr>
              <w:rPr>
                <w:b w:val="0"/>
                <w:bCs w:val="0"/>
              </w:rPr>
            </w:pPr>
            <w:r>
              <w:rPr>
                <w:b w:val="0"/>
                <w:bCs w:val="0"/>
              </w:rPr>
              <w:t xml:space="preserve">     </w:t>
            </w:r>
            <w:r w:rsidR="00CE6B8B" w:rsidRPr="000A395F">
              <w:rPr>
                <w:b w:val="0"/>
                <w:bCs w:val="0"/>
              </w:rPr>
              <w:t>(v) the management plan is communicated in writing to the referring practitioner; and</w:t>
            </w:r>
          </w:p>
          <w:p w14:paraId="763C63C8" w14:textId="77777777" w:rsidR="00CE6B8B" w:rsidRPr="000A395F" w:rsidRDefault="00CE6B8B" w:rsidP="000A395F">
            <w:pPr>
              <w:rPr>
                <w:b w:val="0"/>
                <w:bCs w:val="0"/>
              </w:rPr>
            </w:pPr>
            <w:r w:rsidRPr="000A395F">
              <w:rPr>
                <w:b w:val="0"/>
                <w:bCs w:val="0"/>
              </w:rPr>
              <w:t>(d) an attendance to which item 104, 105, 107, 108, 110, 116 or 119 applies has not been provided to the patient on the same day by the same practitioner; and</w:t>
            </w:r>
          </w:p>
          <w:p w14:paraId="487E1AE0" w14:textId="43DB516B" w:rsidR="000A395F" w:rsidRDefault="00CE6B8B" w:rsidP="000A395F">
            <w:r w:rsidRPr="000A395F">
              <w:rPr>
                <w:b w:val="0"/>
                <w:bCs w:val="0"/>
              </w:rPr>
              <w:lastRenderedPageBreak/>
              <w:t>(e) an attendance to which this item or item 141 applies has not been provided to the patient by the same practitioner in the preceding 12 months</w:t>
            </w:r>
            <w:r w:rsidR="00CC7836">
              <w:rPr>
                <w:b w:val="0"/>
                <w:bCs w:val="0"/>
              </w:rPr>
              <w:t>.</w:t>
            </w:r>
          </w:p>
          <w:p w14:paraId="4C5E54AD" w14:textId="77777777" w:rsidR="00CC7836" w:rsidRPr="000A395F" w:rsidRDefault="00CC7836" w:rsidP="000A395F">
            <w:pPr>
              <w:rPr>
                <w:b w:val="0"/>
                <w:bCs w:val="0"/>
              </w:rPr>
            </w:pPr>
          </w:p>
          <w:p w14:paraId="02E2D286" w14:textId="77777777" w:rsidR="00CC7836" w:rsidRPr="00CC7836" w:rsidRDefault="00CC7836" w:rsidP="00CC7836">
            <w:r w:rsidRPr="00CC7836">
              <w:t>Fee:</w:t>
            </w:r>
            <w:r w:rsidRPr="00255D0E">
              <w:rPr>
                <w:b w:val="0"/>
                <w:bCs w:val="0"/>
              </w:rPr>
              <w:t> $634.60</w:t>
            </w:r>
            <w:r w:rsidRPr="00CC7836">
              <w:t> Benefit: </w:t>
            </w:r>
            <w:r w:rsidRPr="00255D0E">
              <w:rPr>
                <w:b w:val="0"/>
                <w:bCs w:val="0"/>
              </w:rPr>
              <w:t>85% = $539.45</w:t>
            </w:r>
          </w:p>
          <w:p w14:paraId="52B31E11" w14:textId="77777777" w:rsidR="00CC7836" w:rsidRPr="00255D0E" w:rsidRDefault="00CC7836" w:rsidP="00CC7836">
            <w:pPr>
              <w:rPr>
                <w:b w:val="0"/>
                <w:bCs w:val="0"/>
              </w:rPr>
            </w:pPr>
            <w:r w:rsidRPr="00255D0E">
              <w:rPr>
                <w:b w:val="0"/>
                <w:bCs w:val="0"/>
              </w:rPr>
              <w:t>(See para </w:t>
            </w:r>
            <w:hyperlink r:id="rId23" w:history="1">
              <w:r w:rsidRPr="00F1152A">
                <w:rPr>
                  <w:rStyle w:val="Hyperlink"/>
                </w:rPr>
                <w:t>AN.0.26</w:t>
              </w:r>
            </w:hyperlink>
            <w:r w:rsidRPr="00255D0E">
              <w:rPr>
                <w:b w:val="0"/>
                <w:bCs w:val="0"/>
              </w:rPr>
              <w:t> of explanatory notes to this Category)</w:t>
            </w:r>
          </w:p>
          <w:p w14:paraId="419D69E8" w14:textId="3BE51660" w:rsidR="00CD6A6C" w:rsidRDefault="00CC7836" w:rsidP="00576F74">
            <w:pPr>
              <w:rPr>
                <w:b w:val="0"/>
                <w:bCs w:val="0"/>
              </w:rPr>
            </w:pPr>
            <w:hyperlink r:id="rId24" w:history="1">
              <w:r w:rsidRPr="004B5E38">
                <w:rPr>
                  <w:rStyle w:val="Hyperlink"/>
                </w:rPr>
                <w:t>Extended Medicare Safety Net Cap:</w:t>
              </w:r>
            </w:hyperlink>
            <w:r w:rsidRPr="004B5E38">
              <w:t> </w:t>
            </w:r>
            <w:r w:rsidRPr="00255D0E">
              <w:rPr>
                <w:b w:val="0"/>
                <w:bCs w:val="0"/>
              </w:rPr>
              <w:t>$500.00</w:t>
            </w:r>
          </w:p>
        </w:tc>
      </w:tr>
      <w:tr w:rsidR="00B246A5" w14:paraId="5984DB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AAA37EA" w14:textId="5BDA8059" w:rsidR="007940A0" w:rsidRPr="007940A0" w:rsidRDefault="00C05B58" w:rsidP="007940A0">
            <w:pPr>
              <w:pStyle w:val="tabletext0"/>
              <w:spacing w:before="60" w:beforeAutospacing="0" w:after="0" w:afterAutospacing="0" w:line="240" w:lineRule="atLeast"/>
              <w:rPr>
                <w:rFonts w:ascii="Arial" w:hAnsi="Arial"/>
                <w:b w:val="0"/>
                <w:bCs w:val="0"/>
                <w:color w:val="000000" w:themeColor="text1"/>
                <w:sz w:val="22"/>
                <w:lang w:eastAsia="en-US"/>
              </w:rPr>
            </w:pPr>
            <w:r>
              <w:rPr>
                <w:rFonts w:ascii="Arial" w:hAnsi="Arial"/>
                <w:b w:val="0"/>
                <w:bCs w:val="0"/>
                <w:color w:val="000000" w:themeColor="text1"/>
                <w:sz w:val="22"/>
                <w:lang w:eastAsia="en-US"/>
              </w:rPr>
              <w:lastRenderedPageBreak/>
              <w:t xml:space="preserve">Item </w:t>
            </w:r>
            <w:r w:rsidR="007940A0" w:rsidRPr="007940A0">
              <w:rPr>
                <w:rFonts w:ascii="Arial" w:hAnsi="Arial"/>
                <w:b w:val="0"/>
                <w:bCs w:val="0"/>
                <w:color w:val="000000" w:themeColor="text1"/>
                <w:sz w:val="22"/>
                <w:lang w:eastAsia="en-US"/>
              </w:rPr>
              <w:t xml:space="preserve">147 </w:t>
            </w:r>
          </w:p>
          <w:p w14:paraId="400ED67F" w14:textId="63F860E6" w:rsidR="007940A0" w:rsidRPr="007940A0" w:rsidRDefault="007940A0" w:rsidP="007940A0">
            <w:pPr>
              <w:pStyle w:val="tabletext0"/>
              <w:spacing w:before="60" w:beforeAutospacing="0" w:after="0" w:afterAutospacing="0" w:line="240" w:lineRule="atLeast"/>
              <w:rPr>
                <w:rFonts w:ascii="Arial" w:hAnsi="Arial"/>
                <w:b w:val="0"/>
                <w:bCs w:val="0"/>
                <w:color w:val="000000" w:themeColor="text1"/>
                <w:sz w:val="22"/>
                <w:lang w:eastAsia="en-US"/>
              </w:rPr>
            </w:pPr>
            <w:r w:rsidRPr="007940A0">
              <w:rPr>
                <w:rFonts w:ascii="Arial" w:hAnsi="Arial"/>
                <w:b w:val="0"/>
                <w:bCs w:val="0"/>
                <w:color w:val="000000" w:themeColor="text1"/>
                <w:sz w:val="22"/>
                <w:lang w:eastAsia="en-US"/>
              </w:rPr>
              <w:t>Professional attendance lasting more than 30 minutes at a place other than consulting rooms or hospital by a consultant physician or specialist in the practice of the consultant physician’s or specialist’s specialty of geriatric medicine to review a management plan previously prepared by that consultant physician or specialist under items 141 or 145, if:</w:t>
            </w:r>
          </w:p>
          <w:p w14:paraId="14478B60" w14:textId="77777777" w:rsidR="007940A0" w:rsidRPr="007940A0" w:rsidRDefault="007940A0" w:rsidP="007940A0">
            <w:pPr>
              <w:pStyle w:val="tablea"/>
              <w:spacing w:before="60" w:beforeAutospacing="0" w:after="0" w:afterAutospacing="0"/>
              <w:ind w:left="284" w:hanging="284"/>
              <w:rPr>
                <w:rFonts w:ascii="Arial" w:hAnsi="Arial"/>
                <w:b w:val="0"/>
                <w:bCs w:val="0"/>
                <w:color w:val="000000" w:themeColor="text1"/>
                <w:sz w:val="22"/>
                <w:lang w:eastAsia="en-US"/>
              </w:rPr>
            </w:pPr>
            <w:r w:rsidRPr="007940A0">
              <w:rPr>
                <w:rFonts w:ascii="Arial" w:hAnsi="Arial"/>
                <w:b w:val="0"/>
                <w:bCs w:val="0"/>
                <w:color w:val="000000" w:themeColor="text1"/>
                <w:sz w:val="22"/>
                <w:lang w:eastAsia="en-US"/>
              </w:rPr>
              <w:t>(a) the review is initiated by the referring medical practitioner practising in general practice or a participating nurse practitioner; and</w:t>
            </w:r>
          </w:p>
          <w:p w14:paraId="17BA8F0F" w14:textId="77777777" w:rsidR="007940A0" w:rsidRPr="007940A0" w:rsidRDefault="007940A0" w:rsidP="007940A0">
            <w:pPr>
              <w:pStyle w:val="tablea"/>
              <w:spacing w:before="60" w:beforeAutospacing="0" w:after="0" w:afterAutospacing="0"/>
              <w:ind w:left="284" w:hanging="284"/>
              <w:rPr>
                <w:rFonts w:ascii="Arial" w:hAnsi="Arial"/>
                <w:b w:val="0"/>
                <w:bCs w:val="0"/>
                <w:color w:val="000000" w:themeColor="text1"/>
                <w:sz w:val="22"/>
                <w:lang w:eastAsia="en-US"/>
              </w:rPr>
            </w:pPr>
            <w:r w:rsidRPr="007940A0">
              <w:rPr>
                <w:rFonts w:ascii="Arial" w:hAnsi="Arial"/>
                <w:b w:val="0"/>
                <w:bCs w:val="0"/>
                <w:color w:val="000000" w:themeColor="text1"/>
                <w:sz w:val="22"/>
                <w:lang w:eastAsia="en-US"/>
              </w:rPr>
              <w:t>(b) during the attendance:</w:t>
            </w:r>
          </w:p>
          <w:p w14:paraId="6B0EFA3A" w14:textId="77777777" w:rsidR="007940A0" w:rsidRPr="007940A0" w:rsidRDefault="007940A0" w:rsidP="007940A0">
            <w:pPr>
              <w:pStyle w:val="tablei"/>
              <w:spacing w:before="0" w:beforeAutospacing="0" w:after="0" w:afterAutospacing="0" w:line="240" w:lineRule="atLeast"/>
              <w:ind w:left="828" w:hanging="284"/>
              <w:rPr>
                <w:rFonts w:ascii="Arial" w:hAnsi="Arial"/>
                <w:b w:val="0"/>
                <w:bCs w:val="0"/>
                <w:color w:val="000000" w:themeColor="text1"/>
                <w:sz w:val="22"/>
                <w:lang w:eastAsia="en-US"/>
              </w:rPr>
            </w:pPr>
            <w:r w:rsidRPr="007940A0">
              <w:rPr>
                <w:rFonts w:ascii="Arial" w:hAnsi="Arial"/>
                <w:b w:val="0"/>
                <w:bCs w:val="0"/>
                <w:color w:val="000000" w:themeColor="text1"/>
                <w:sz w:val="22"/>
                <w:lang w:eastAsia="en-US"/>
              </w:rPr>
              <w:t>(</w:t>
            </w:r>
            <w:proofErr w:type="spellStart"/>
            <w:r w:rsidRPr="007940A0">
              <w:rPr>
                <w:rFonts w:ascii="Arial" w:hAnsi="Arial"/>
                <w:b w:val="0"/>
                <w:bCs w:val="0"/>
                <w:color w:val="000000" w:themeColor="text1"/>
                <w:sz w:val="22"/>
                <w:lang w:eastAsia="en-US"/>
              </w:rPr>
              <w:t>i</w:t>
            </w:r>
            <w:proofErr w:type="spellEnd"/>
            <w:r w:rsidRPr="007940A0">
              <w:rPr>
                <w:rFonts w:ascii="Arial" w:hAnsi="Arial"/>
                <w:b w:val="0"/>
                <w:bCs w:val="0"/>
                <w:color w:val="000000" w:themeColor="text1"/>
                <w:sz w:val="22"/>
                <w:lang w:eastAsia="en-US"/>
              </w:rPr>
              <w:t>) the patient’s health status is reassessed; and</w:t>
            </w:r>
          </w:p>
          <w:p w14:paraId="38A283B9" w14:textId="77777777" w:rsidR="007940A0" w:rsidRPr="007940A0" w:rsidRDefault="007940A0" w:rsidP="007940A0">
            <w:pPr>
              <w:pStyle w:val="tablei"/>
              <w:spacing w:before="0" w:beforeAutospacing="0" w:after="0" w:afterAutospacing="0" w:line="240" w:lineRule="atLeast"/>
              <w:ind w:left="828" w:hanging="284"/>
              <w:rPr>
                <w:rFonts w:ascii="Arial" w:hAnsi="Arial"/>
                <w:b w:val="0"/>
                <w:bCs w:val="0"/>
                <w:color w:val="000000" w:themeColor="text1"/>
                <w:sz w:val="22"/>
                <w:lang w:eastAsia="en-US"/>
              </w:rPr>
            </w:pPr>
            <w:r w:rsidRPr="007940A0">
              <w:rPr>
                <w:rFonts w:ascii="Arial" w:hAnsi="Arial"/>
                <w:b w:val="0"/>
                <w:bCs w:val="0"/>
                <w:color w:val="000000" w:themeColor="text1"/>
                <w:sz w:val="22"/>
                <w:lang w:eastAsia="en-US"/>
              </w:rPr>
              <w:t>(ii) a management plan that was prepared under item 141 or 145 is reviewed and revised; and</w:t>
            </w:r>
          </w:p>
          <w:p w14:paraId="4DA42566" w14:textId="77777777" w:rsidR="007940A0" w:rsidRPr="007940A0" w:rsidRDefault="007940A0" w:rsidP="007940A0">
            <w:pPr>
              <w:pStyle w:val="tablei"/>
              <w:spacing w:before="0" w:beforeAutospacing="0" w:after="0" w:afterAutospacing="0" w:line="240" w:lineRule="atLeast"/>
              <w:ind w:left="828" w:hanging="284"/>
              <w:rPr>
                <w:rFonts w:ascii="Arial" w:hAnsi="Arial"/>
                <w:b w:val="0"/>
                <w:bCs w:val="0"/>
                <w:color w:val="000000" w:themeColor="text1"/>
                <w:sz w:val="22"/>
                <w:lang w:eastAsia="en-US"/>
              </w:rPr>
            </w:pPr>
            <w:r w:rsidRPr="007940A0">
              <w:rPr>
                <w:rFonts w:ascii="Arial" w:hAnsi="Arial"/>
                <w:b w:val="0"/>
                <w:bCs w:val="0"/>
                <w:color w:val="000000" w:themeColor="text1"/>
                <w:sz w:val="22"/>
                <w:lang w:eastAsia="en-US"/>
              </w:rPr>
              <w:t>(iii) the revised management plan is explained to the patient and (if appropriate) the patient’s family and any carers and communicated in writing to the referring practitioner; and</w:t>
            </w:r>
          </w:p>
          <w:p w14:paraId="2D3BA80D" w14:textId="77777777" w:rsidR="007940A0" w:rsidRPr="007940A0" w:rsidRDefault="007940A0" w:rsidP="007940A0">
            <w:pPr>
              <w:pStyle w:val="tablea"/>
              <w:spacing w:before="60" w:beforeAutospacing="0" w:after="0" w:afterAutospacing="0"/>
              <w:ind w:left="284" w:hanging="284"/>
              <w:rPr>
                <w:rFonts w:ascii="Arial" w:hAnsi="Arial"/>
                <w:b w:val="0"/>
                <w:bCs w:val="0"/>
                <w:color w:val="000000" w:themeColor="text1"/>
                <w:sz w:val="22"/>
                <w:lang w:eastAsia="en-US"/>
              </w:rPr>
            </w:pPr>
            <w:r w:rsidRPr="007940A0">
              <w:rPr>
                <w:rFonts w:ascii="Arial" w:hAnsi="Arial"/>
                <w:b w:val="0"/>
                <w:bCs w:val="0"/>
                <w:color w:val="000000" w:themeColor="text1"/>
                <w:sz w:val="22"/>
                <w:lang w:eastAsia="en-US"/>
              </w:rPr>
              <w:t>(c) an attendance to which item 104, 105, 107, 108, 110, 116 or 119 applies has not been provided to the patient on the same day by the same practitioner; and</w:t>
            </w:r>
          </w:p>
          <w:p w14:paraId="64AAC713" w14:textId="77777777" w:rsidR="007940A0" w:rsidRPr="007940A0" w:rsidRDefault="007940A0" w:rsidP="007940A0">
            <w:pPr>
              <w:pStyle w:val="tablea"/>
              <w:spacing w:before="60" w:beforeAutospacing="0" w:after="0" w:afterAutospacing="0"/>
              <w:ind w:left="284" w:hanging="284"/>
              <w:rPr>
                <w:rFonts w:ascii="Arial" w:hAnsi="Arial"/>
                <w:b w:val="0"/>
                <w:bCs w:val="0"/>
                <w:color w:val="000000" w:themeColor="text1"/>
                <w:sz w:val="22"/>
                <w:lang w:eastAsia="en-US"/>
              </w:rPr>
            </w:pPr>
            <w:r w:rsidRPr="007940A0">
              <w:rPr>
                <w:rFonts w:ascii="Arial" w:hAnsi="Arial"/>
                <w:b w:val="0"/>
                <w:bCs w:val="0"/>
                <w:color w:val="000000" w:themeColor="text1"/>
                <w:sz w:val="22"/>
                <w:lang w:eastAsia="en-US"/>
              </w:rPr>
              <w:t>(d) an attendance to which item 141 or 145 applies has been provided to the patient by the same practitioner in the preceding 12 months; and</w:t>
            </w:r>
          </w:p>
          <w:p w14:paraId="06A40144" w14:textId="7B00A6C2" w:rsidR="007940A0" w:rsidRDefault="007940A0" w:rsidP="007940A0">
            <w:pPr>
              <w:pStyle w:val="tablea"/>
              <w:spacing w:before="60" w:beforeAutospacing="0" w:after="0" w:afterAutospacing="0"/>
              <w:ind w:left="284" w:hanging="284"/>
              <w:rPr>
                <w:rFonts w:ascii="Arial" w:hAnsi="Arial"/>
                <w:color w:val="000000" w:themeColor="text1"/>
                <w:sz w:val="22"/>
                <w:lang w:eastAsia="en-US"/>
              </w:rPr>
            </w:pPr>
            <w:r w:rsidRPr="007940A0">
              <w:rPr>
                <w:rFonts w:ascii="Arial" w:hAnsi="Arial"/>
                <w:b w:val="0"/>
                <w:bCs w:val="0"/>
                <w:color w:val="000000" w:themeColor="text1"/>
                <w:sz w:val="22"/>
                <w:lang w:eastAsia="en-US"/>
              </w:rPr>
              <w:t>(e) an attendance to which this item or 143 applies has not been provided by the same practitioner in the preceding 12 months, unless there has been a significant change in the patient’s clinical condition or care circumstances that requires a further review</w:t>
            </w:r>
            <w:r w:rsidR="00CC7836">
              <w:rPr>
                <w:rFonts w:ascii="Arial" w:hAnsi="Arial"/>
                <w:b w:val="0"/>
                <w:bCs w:val="0"/>
                <w:color w:val="000000" w:themeColor="text1"/>
                <w:sz w:val="22"/>
                <w:lang w:eastAsia="en-US"/>
              </w:rPr>
              <w:t>.</w:t>
            </w:r>
          </w:p>
          <w:p w14:paraId="4D883FAC" w14:textId="77777777" w:rsidR="00CC7836" w:rsidRPr="007940A0" w:rsidRDefault="00CC7836" w:rsidP="007940A0">
            <w:pPr>
              <w:pStyle w:val="tablea"/>
              <w:spacing w:before="60" w:beforeAutospacing="0" w:after="0" w:afterAutospacing="0"/>
              <w:ind w:left="284" w:hanging="284"/>
              <w:rPr>
                <w:rFonts w:ascii="Arial" w:hAnsi="Arial"/>
                <w:b w:val="0"/>
                <w:bCs w:val="0"/>
                <w:color w:val="000000" w:themeColor="text1"/>
                <w:sz w:val="22"/>
                <w:lang w:eastAsia="en-US"/>
              </w:rPr>
            </w:pPr>
          </w:p>
          <w:p w14:paraId="32841E9F" w14:textId="77777777" w:rsidR="00CC7836" w:rsidRPr="00F1152A" w:rsidRDefault="00CC7836" w:rsidP="00CC7836">
            <w:pPr>
              <w:rPr>
                <w:b w:val="0"/>
                <w:bCs w:val="0"/>
              </w:rPr>
            </w:pPr>
            <w:r w:rsidRPr="00F1152A">
              <w:t>Fee:</w:t>
            </w:r>
            <w:r w:rsidRPr="00F1152A">
              <w:rPr>
                <w:b w:val="0"/>
                <w:bCs w:val="0"/>
              </w:rPr>
              <w:t> $396.70 </w:t>
            </w:r>
            <w:r w:rsidRPr="00F1152A">
              <w:t>Benefit:</w:t>
            </w:r>
            <w:r w:rsidRPr="00F1152A">
              <w:rPr>
                <w:b w:val="0"/>
                <w:bCs w:val="0"/>
              </w:rPr>
              <w:t> 85% = $337.20</w:t>
            </w:r>
          </w:p>
          <w:p w14:paraId="11977EB3" w14:textId="77777777" w:rsidR="00CC7836" w:rsidRPr="00F1152A" w:rsidRDefault="00CC7836" w:rsidP="00CC7836">
            <w:pPr>
              <w:rPr>
                <w:b w:val="0"/>
                <w:bCs w:val="0"/>
              </w:rPr>
            </w:pPr>
            <w:r w:rsidRPr="00F1152A">
              <w:rPr>
                <w:b w:val="0"/>
                <w:bCs w:val="0"/>
              </w:rPr>
              <w:t>(See para </w:t>
            </w:r>
            <w:hyperlink r:id="rId25" w:history="1">
              <w:r w:rsidRPr="00F1152A">
                <w:rPr>
                  <w:rStyle w:val="Hyperlink"/>
                </w:rPr>
                <w:t>AN.0.26</w:t>
              </w:r>
            </w:hyperlink>
            <w:r w:rsidRPr="00F1152A">
              <w:t> </w:t>
            </w:r>
            <w:r w:rsidRPr="00F1152A">
              <w:rPr>
                <w:b w:val="0"/>
                <w:bCs w:val="0"/>
              </w:rPr>
              <w:t>of explanatory notes to this Category)</w:t>
            </w:r>
          </w:p>
          <w:p w14:paraId="494790A5" w14:textId="2C97FD48" w:rsidR="00B246A5" w:rsidRDefault="00CC7836" w:rsidP="003C331C">
            <w:pPr>
              <w:rPr>
                <w:b w:val="0"/>
                <w:bCs w:val="0"/>
              </w:rPr>
            </w:pPr>
            <w:hyperlink r:id="rId26" w:history="1">
              <w:r w:rsidRPr="004B5E38">
                <w:rPr>
                  <w:rStyle w:val="Hyperlink"/>
                </w:rPr>
                <w:t>Extended Medicare Safety Net Cap:</w:t>
              </w:r>
            </w:hyperlink>
            <w:r w:rsidRPr="004B5E38">
              <w:t> </w:t>
            </w:r>
            <w:r w:rsidRPr="00F1152A">
              <w:rPr>
                <w:b w:val="0"/>
                <w:bCs w:val="0"/>
              </w:rPr>
              <w:t>$500.0</w:t>
            </w:r>
            <w:r w:rsidR="003C331C">
              <w:rPr>
                <w:b w:val="0"/>
                <w:bCs w:val="0"/>
              </w:rPr>
              <w:t>0</w:t>
            </w:r>
          </w:p>
        </w:tc>
      </w:tr>
      <w:bookmarkEnd w:id="5"/>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17040FBC" w:rsidR="007C31DD" w:rsidRPr="00BE3ED5" w:rsidRDefault="007C31DD" w:rsidP="003C331C">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footerReference w:type="default" r:id="rId27"/>
      <w:headerReference w:type="first" r:id="rId28"/>
      <w:footerReference w:type="first" r:id="rId2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D3E8D" w14:textId="77777777" w:rsidR="00890DB5" w:rsidRDefault="00890DB5" w:rsidP="006B56BB">
      <w:r>
        <w:separator/>
      </w:r>
    </w:p>
    <w:p w14:paraId="2465A926" w14:textId="77777777" w:rsidR="00890DB5" w:rsidRDefault="00890DB5"/>
  </w:endnote>
  <w:endnote w:type="continuationSeparator" w:id="0">
    <w:p w14:paraId="69ECBDAE" w14:textId="77777777" w:rsidR="00890DB5" w:rsidRDefault="00890DB5" w:rsidP="006B56BB">
      <w:r>
        <w:continuationSeparator/>
      </w:r>
    </w:p>
    <w:p w14:paraId="3A35B153" w14:textId="77777777" w:rsidR="00890DB5" w:rsidRDefault="00890DB5"/>
  </w:endnote>
  <w:endnote w:type="continuationNotice" w:id="1">
    <w:p w14:paraId="1A808649" w14:textId="77777777" w:rsidR="00890DB5" w:rsidRDefault="00890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4F237A2C" w:rsidR="00F51321" w:rsidRDefault="00F03BAA" w:rsidP="00F51321">
    <w:pPr>
      <w:pStyle w:val="Footer"/>
      <w:tabs>
        <w:tab w:val="clear" w:pos="9026"/>
        <w:tab w:val="right" w:pos="10466"/>
      </w:tabs>
    </w:pPr>
    <w:r>
      <w:rPr>
        <w:b/>
      </w:rPr>
      <w:t>Geriatrician assessment and management plans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1DD0E4E" w:rsidR="00F51321" w:rsidRDefault="009F5046" w:rsidP="00F51321">
    <w:pPr>
      <w:pStyle w:val="Footer"/>
      <w:jc w:val="left"/>
      <w:rPr>
        <w:rStyle w:val="Hyperlink"/>
        <w:szCs w:val="18"/>
      </w:rPr>
    </w:pPr>
    <w:hyperlink r:id="rId1" w:history="1">
      <w:r w:rsidRPr="009F5046">
        <w:rPr>
          <w:rStyle w:val="Hyperlink"/>
          <w:szCs w:val="18"/>
        </w:rPr>
        <w:t>MBS Online</w:t>
      </w:r>
    </w:hyperlink>
  </w:p>
  <w:p w14:paraId="0D093570" w14:textId="39D2CB67" w:rsidR="00F51321" w:rsidRPr="009B32BA" w:rsidRDefault="00F51321" w:rsidP="00F51321">
    <w:pPr>
      <w:pStyle w:val="Footer"/>
      <w:jc w:val="left"/>
      <w:rPr>
        <w:szCs w:val="18"/>
      </w:rPr>
    </w:pPr>
    <w:r w:rsidRPr="00870B05">
      <w:t>Last updated</w:t>
    </w:r>
    <w:r>
      <w:t xml:space="preserve"> – </w:t>
    </w:r>
    <w:r w:rsidR="004A3F6B">
      <w:t>2</w:t>
    </w:r>
    <w:r w:rsidR="00340A8C">
      <w:t>5</w:t>
    </w:r>
    <w:r w:rsidR="00E32076">
      <w:t xml:space="preserve"> </w:t>
    </w:r>
    <w:r w:rsidR="004A3F6B">
      <w:t>February</w:t>
    </w:r>
    <w:r w:rsidR="00BC4678">
      <w:t xml:space="preserve"> 2025</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E5B74BD" w:rsidR="00064168" w:rsidRDefault="00B624A3" w:rsidP="00064168">
    <w:pPr>
      <w:pStyle w:val="Footer"/>
      <w:tabs>
        <w:tab w:val="clear" w:pos="9026"/>
        <w:tab w:val="right" w:pos="10466"/>
      </w:tabs>
    </w:pPr>
    <w:r>
      <w:rPr>
        <w:b/>
      </w:rPr>
      <w:t xml:space="preserve">Geriatrician </w:t>
    </w:r>
    <w:r w:rsidR="00D57F88">
      <w:rPr>
        <w:b/>
      </w:rPr>
      <w:t>assessment and management plans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57B3B071" w:rsidR="00064168" w:rsidRDefault="009F5046" w:rsidP="00064168">
    <w:pPr>
      <w:pStyle w:val="Footer"/>
      <w:jc w:val="left"/>
      <w:rPr>
        <w:rStyle w:val="Hyperlink"/>
        <w:szCs w:val="18"/>
      </w:rPr>
    </w:pPr>
    <w:hyperlink r:id="rId1" w:history="1">
      <w:r w:rsidRPr="009F5046">
        <w:rPr>
          <w:rStyle w:val="Hyperlink"/>
          <w:szCs w:val="18"/>
        </w:rPr>
        <w:t>MBS Online</w:t>
      </w:r>
    </w:hyperlink>
  </w:p>
  <w:p w14:paraId="03585E81" w14:textId="4D731D55" w:rsidR="00064168" w:rsidRPr="009B32BA" w:rsidRDefault="00064168" w:rsidP="00064168">
    <w:pPr>
      <w:pStyle w:val="Footer"/>
      <w:jc w:val="left"/>
      <w:rPr>
        <w:szCs w:val="18"/>
      </w:rPr>
    </w:pPr>
    <w:r w:rsidRPr="00870B05">
      <w:t>Last updated</w:t>
    </w:r>
    <w:r>
      <w:t xml:space="preserve"> –</w:t>
    </w:r>
    <w:r w:rsidR="00E32076">
      <w:t xml:space="preserve"> </w:t>
    </w:r>
    <w:r w:rsidR="004A3F6B">
      <w:t>2</w:t>
    </w:r>
    <w:r w:rsidR="00340A8C">
      <w:t>5</w:t>
    </w:r>
    <w:r w:rsidR="00E32076">
      <w:t xml:space="preserve"> </w:t>
    </w:r>
    <w:r w:rsidR="004A3F6B">
      <w:t>February</w:t>
    </w:r>
    <w:r w:rsidR="00BC4678">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6983" w14:textId="77777777" w:rsidR="00890DB5" w:rsidRDefault="00890DB5" w:rsidP="006B56BB">
      <w:r>
        <w:separator/>
      </w:r>
    </w:p>
    <w:p w14:paraId="212A7C9E" w14:textId="77777777" w:rsidR="00890DB5" w:rsidRDefault="00890DB5"/>
  </w:footnote>
  <w:footnote w:type="continuationSeparator" w:id="0">
    <w:p w14:paraId="49560181" w14:textId="77777777" w:rsidR="00890DB5" w:rsidRDefault="00890DB5" w:rsidP="006B56BB">
      <w:r>
        <w:continuationSeparator/>
      </w:r>
    </w:p>
    <w:p w14:paraId="03848CE8" w14:textId="77777777" w:rsidR="00890DB5" w:rsidRDefault="00890DB5"/>
  </w:footnote>
  <w:footnote w:type="continuationNotice" w:id="1">
    <w:p w14:paraId="17BCBF75" w14:textId="77777777" w:rsidR="00890DB5" w:rsidRDefault="00890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DA0B78"/>
    <w:multiLevelType w:val="multilevel"/>
    <w:tmpl w:val="4E70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8358C7"/>
    <w:multiLevelType w:val="multilevel"/>
    <w:tmpl w:val="3D12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1C794E"/>
    <w:multiLevelType w:val="multilevel"/>
    <w:tmpl w:val="E57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886DB4"/>
    <w:multiLevelType w:val="multilevel"/>
    <w:tmpl w:val="CA0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E566C72"/>
    <w:multiLevelType w:val="multilevel"/>
    <w:tmpl w:val="5EB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4784398">
    <w:abstractNumId w:val="7"/>
  </w:num>
  <w:num w:numId="2" w16cid:durableId="320935821">
    <w:abstractNumId w:val="18"/>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5"/>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5"/>
  </w:num>
  <w:num w:numId="23" w16cid:durableId="111368400">
    <w:abstractNumId w:val="18"/>
  </w:num>
  <w:num w:numId="24" w16cid:durableId="815339056">
    <w:abstractNumId w:val="22"/>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2082172964">
    <w:abstractNumId w:val="24"/>
  </w:num>
  <w:num w:numId="32" w16cid:durableId="878979490">
    <w:abstractNumId w:val="23"/>
  </w:num>
  <w:num w:numId="33" w16cid:durableId="1021975863">
    <w:abstractNumId w:val="20"/>
  </w:num>
  <w:num w:numId="34" w16cid:durableId="157774143">
    <w:abstractNumId w:val="26"/>
  </w:num>
  <w:num w:numId="35" w16cid:durableId="6000652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6288"/>
    <w:rsid w:val="00022629"/>
    <w:rsid w:val="00024DFE"/>
    <w:rsid w:val="00026139"/>
    <w:rsid w:val="00027601"/>
    <w:rsid w:val="0003020B"/>
    <w:rsid w:val="00033321"/>
    <w:rsid w:val="000338E5"/>
    <w:rsid w:val="00033ECC"/>
    <w:rsid w:val="0003422F"/>
    <w:rsid w:val="00046FF0"/>
    <w:rsid w:val="00050176"/>
    <w:rsid w:val="00050342"/>
    <w:rsid w:val="00054C8E"/>
    <w:rsid w:val="00055B2E"/>
    <w:rsid w:val="00060F02"/>
    <w:rsid w:val="00064168"/>
    <w:rsid w:val="00067219"/>
    <w:rsid w:val="000673EF"/>
    <w:rsid w:val="00067456"/>
    <w:rsid w:val="00071506"/>
    <w:rsid w:val="0007154F"/>
    <w:rsid w:val="000751C3"/>
    <w:rsid w:val="00080BAC"/>
    <w:rsid w:val="00081AB1"/>
    <w:rsid w:val="00090316"/>
    <w:rsid w:val="00090985"/>
    <w:rsid w:val="00093981"/>
    <w:rsid w:val="00094836"/>
    <w:rsid w:val="000A395F"/>
    <w:rsid w:val="000A6022"/>
    <w:rsid w:val="000B067A"/>
    <w:rsid w:val="000B1540"/>
    <w:rsid w:val="000B1E53"/>
    <w:rsid w:val="000B33FD"/>
    <w:rsid w:val="000B4ABA"/>
    <w:rsid w:val="000C4B16"/>
    <w:rsid w:val="000C50C3"/>
    <w:rsid w:val="000C5E14"/>
    <w:rsid w:val="000C5F4A"/>
    <w:rsid w:val="000C6EDB"/>
    <w:rsid w:val="000D21F6"/>
    <w:rsid w:val="000D2381"/>
    <w:rsid w:val="000D4500"/>
    <w:rsid w:val="000D7AEA"/>
    <w:rsid w:val="000E2C66"/>
    <w:rsid w:val="000E3BF4"/>
    <w:rsid w:val="000F123C"/>
    <w:rsid w:val="000F2FED"/>
    <w:rsid w:val="0010616D"/>
    <w:rsid w:val="00110478"/>
    <w:rsid w:val="00111901"/>
    <w:rsid w:val="0011483D"/>
    <w:rsid w:val="0011711B"/>
    <w:rsid w:val="00117F8A"/>
    <w:rsid w:val="00121B9B"/>
    <w:rsid w:val="00122ADC"/>
    <w:rsid w:val="001245EF"/>
    <w:rsid w:val="00130F59"/>
    <w:rsid w:val="00133EC0"/>
    <w:rsid w:val="00141CE5"/>
    <w:rsid w:val="00144908"/>
    <w:rsid w:val="00156D96"/>
    <w:rsid w:val="001571C7"/>
    <w:rsid w:val="00161094"/>
    <w:rsid w:val="00163940"/>
    <w:rsid w:val="0017630C"/>
    <w:rsid w:val="0017665C"/>
    <w:rsid w:val="00177AD2"/>
    <w:rsid w:val="001815A8"/>
    <w:rsid w:val="001840FA"/>
    <w:rsid w:val="00190079"/>
    <w:rsid w:val="0019622E"/>
    <w:rsid w:val="001966A7"/>
    <w:rsid w:val="0019761F"/>
    <w:rsid w:val="001A4627"/>
    <w:rsid w:val="001A4979"/>
    <w:rsid w:val="001A4F08"/>
    <w:rsid w:val="001B15D3"/>
    <w:rsid w:val="001B3443"/>
    <w:rsid w:val="001C0326"/>
    <w:rsid w:val="001C192F"/>
    <w:rsid w:val="001C3C42"/>
    <w:rsid w:val="001D4767"/>
    <w:rsid w:val="001D7869"/>
    <w:rsid w:val="001F38C3"/>
    <w:rsid w:val="002026CD"/>
    <w:rsid w:val="002033FC"/>
    <w:rsid w:val="00203979"/>
    <w:rsid w:val="002044BB"/>
    <w:rsid w:val="00210B09"/>
    <w:rsid w:val="00210C9E"/>
    <w:rsid w:val="00211840"/>
    <w:rsid w:val="00220E5F"/>
    <w:rsid w:val="002212B5"/>
    <w:rsid w:val="00226668"/>
    <w:rsid w:val="00233809"/>
    <w:rsid w:val="00240046"/>
    <w:rsid w:val="0024797F"/>
    <w:rsid w:val="0025119E"/>
    <w:rsid w:val="00251269"/>
    <w:rsid w:val="00251E2E"/>
    <w:rsid w:val="002535C0"/>
    <w:rsid w:val="00255D0E"/>
    <w:rsid w:val="002579FE"/>
    <w:rsid w:val="00260552"/>
    <w:rsid w:val="0026311C"/>
    <w:rsid w:val="0026668C"/>
    <w:rsid w:val="00266AC1"/>
    <w:rsid w:val="0027178C"/>
    <w:rsid w:val="00271954"/>
    <w:rsid w:val="002719FA"/>
    <w:rsid w:val="00272668"/>
    <w:rsid w:val="00272CD4"/>
    <w:rsid w:val="0027330B"/>
    <w:rsid w:val="00276CB4"/>
    <w:rsid w:val="002803AD"/>
    <w:rsid w:val="00282052"/>
    <w:rsid w:val="002831A3"/>
    <w:rsid w:val="0028519E"/>
    <w:rsid w:val="002856A5"/>
    <w:rsid w:val="002872ED"/>
    <w:rsid w:val="002905C2"/>
    <w:rsid w:val="00295AF2"/>
    <w:rsid w:val="00295C91"/>
    <w:rsid w:val="00297151"/>
    <w:rsid w:val="002A5EFE"/>
    <w:rsid w:val="002B20E6"/>
    <w:rsid w:val="002B42A3"/>
    <w:rsid w:val="002C0CDD"/>
    <w:rsid w:val="002C38C4"/>
    <w:rsid w:val="002C46AA"/>
    <w:rsid w:val="002D2101"/>
    <w:rsid w:val="002D65A2"/>
    <w:rsid w:val="002E1A1D"/>
    <w:rsid w:val="002E27BB"/>
    <w:rsid w:val="002E4081"/>
    <w:rsid w:val="002E5B78"/>
    <w:rsid w:val="002F3AE3"/>
    <w:rsid w:val="00303DAB"/>
    <w:rsid w:val="0030464B"/>
    <w:rsid w:val="00305D4A"/>
    <w:rsid w:val="00307248"/>
    <w:rsid w:val="0030786C"/>
    <w:rsid w:val="00317892"/>
    <w:rsid w:val="003202FB"/>
    <w:rsid w:val="003233DE"/>
    <w:rsid w:val="003238FA"/>
    <w:rsid w:val="0032466B"/>
    <w:rsid w:val="003313CD"/>
    <w:rsid w:val="003330EB"/>
    <w:rsid w:val="00333C73"/>
    <w:rsid w:val="00340A8C"/>
    <w:rsid w:val="003415FD"/>
    <w:rsid w:val="003429F0"/>
    <w:rsid w:val="00345778"/>
    <w:rsid w:val="00345A82"/>
    <w:rsid w:val="00350506"/>
    <w:rsid w:val="0035097A"/>
    <w:rsid w:val="003540A4"/>
    <w:rsid w:val="00357BCC"/>
    <w:rsid w:val="00360E4E"/>
    <w:rsid w:val="00370AAA"/>
    <w:rsid w:val="00375F77"/>
    <w:rsid w:val="00377CE6"/>
    <w:rsid w:val="00381BBE"/>
    <w:rsid w:val="00382903"/>
    <w:rsid w:val="003846FF"/>
    <w:rsid w:val="003857D4"/>
    <w:rsid w:val="00385AD4"/>
    <w:rsid w:val="00385C01"/>
    <w:rsid w:val="00387924"/>
    <w:rsid w:val="0039384D"/>
    <w:rsid w:val="00393D66"/>
    <w:rsid w:val="00395C23"/>
    <w:rsid w:val="003A2E4F"/>
    <w:rsid w:val="003A4438"/>
    <w:rsid w:val="003A5013"/>
    <w:rsid w:val="003A5078"/>
    <w:rsid w:val="003A62DD"/>
    <w:rsid w:val="003A6983"/>
    <w:rsid w:val="003A775A"/>
    <w:rsid w:val="003B0DA1"/>
    <w:rsid w:val="003B213A"/>
    <w:rsid w:val="003B43AD"/>
    <w:rsid w:val="003C0481"/>
    <w:rsid w:val="003C0FEC"/>
    <w:rsid w:val="003C2AC8"/>
    <w:rsid w:val="003C331C"/>
    <w:rsid w:val="003D033A"/>
    <w:rsid w:val="003D17F9"/>
    <w:rsid w:val="003D2D88"/>
    <w:rsid w:val="003D41EA"/>
    <w:rsid w:val="003D4850"/>
    <w:rsid w:val="003D535A"/>
    <w:rsid w:val="003E5265"/>
    <w:rsid w:val="003F0955"/>
    <w:rsid w:val="003F5F4D"/>
    <w:rsid w:val="003F646F"/>
    <w:rsid w:val="00400F00"/>
    <w:rsid w:val="00404F8B"/>
    <w:rsid w:val="00405256"/>
    <w:rsid w:val="00405512"/>
    <w:rsid w:val="00405ADD"/>
    <w:rsid w:val="00410031"/>
    <w:rsid w:val="00415C81"/>
    <w:rsid w:val="00432378"/>
    <w:rsid w:val="004408EF"/>
    <w:rsid w:val="00440D65"/>
    <w:rsid w:val="00441159"/>
    <w:rsid w:val="004423B6"/>
    <w:rsid w:val="004435E6"/>
    <w:rsid w:val="00446D0C"/>
    <w:rsid w:val="00447E31"/>
    <w:rsid w:val="00453923"/>
    <w:rsid w:val="00454B9B"/>
    <w:rsid w:val="00457858"/>
    <w:rsid w:val="00460B0B"/>
    <w:rsid w:val="00461023"/>
    <w:rsid w:val="0046121C"/>
    <w:rsid w:val="00462FAC"/>
    <w:rsid w:val="00464631"/>
    <w:rsid w:val="00464B79"/>
    <w:rsid w:val="00467BBF"/>
    <w:rsid w:val="00470C55"/>
    <w:rsid w:val="00480294"/>
    <w:rsid w:val="004818C0"/>
    <w:rsid w:val="0048593C"/>
    <w:rsid w:val="004867E2"/>
    <w:rsid w:val="004929A9"/>
    <w:rsid w:val="004A3F6B"/>
    <w:rsid w:val="004A78D9"/>
    <w:rsid w:val="004B5E38"/>
    <w:rsid w:val="004C1BCD"/>
    <w:rsid w:val="004C6BCF"/>
    <w:rsid w:val="004D58BF"/>
    <w:rsid w:val="004E4335"/>
    <w:rsid w:val="004E500C"/>
    <w:rsid w:val="004E5226"/>
    <w:rsid w:val="004F13EE"/>
    <w:rsid w:val="004F2022"/>
    <w:rsid w:val="004F7C05"/>
    <w:rsid w:val="00501C94"/>
    <w:rsid w:val="00506432"/>
    <w:rsid w:val="00506E82"/>
    <w:rsid w:val="0052051D"/>
    <w:rsid w:val="005263A4"/>
    <w:rsid w:val="005364C2"/>
    <w:rsid w:val="00537DCD"/>
    <w:rsid w:val="00545B73"/>
    <w:rsid w:val="00545EE6"/>
    <w:rsid w:val="005550E7"/>
    <w:rsid w:val="005564FB"/>
    <w:rsid w:val="005572C7"/>
    <w:rsid w:val="005650ED"/>
    <w:rsid w:val="00566BF9"/>
    <w:rsid w:val="00570152"/>
    <w:rsid w:val="00575754"/>
    <w:rsid w:val="00576F74"/>
    <w:rsid w:val="00581FBA"/>
    <w:rsid w:val="005858A4"/>
    <w:rsid w:val="00591E20"/>
    <w:rsid w:val="005920E7"/>
    <w:rsid w:val="00595408"/>
    <w:rsid w:val="00595E84"/>
    <w:rsid w:val="005A0C59"/>
    <w:rsid w:val="005A48EB"/>
    <w:rsid w:val="005A6CFB"/>
    <w:rsid w:val="005C304F"/>
    <w:rsid w:val="005C5AEB"/>
    <w:rsid w:val="005D5F4E"/>
    <w:rsid w:val="005E0118"/>
    <w:rsid w:val="005E0A3F"/>
    <w:rsid w:val="005E1AF9"/>
    <w:rsid w:val="005E2D76"/>
    <w:rsid w:val="005E4D48"/>
    <w:rsid w:val="005E633C"/>
    <w:rsid w:val="005E6883"/>
    <w:rsid w:val="005E772F"/>
    <w:rsid w:val="005F040A"/>
    <w:rsid w:val="005F4ECA"/>
    <w:rsid w:val="006041BE"/>
    <w:rsid w:val="006043C7"/>
    <w:rsid w:val="00607C2E"/>
    <w:rsid w:val="00624B52"/>
    <w:rsid w:val="00630794"/>
    <w:rsid w:val="00631DF4"/>
    <w:rsid w:val="00634175"/>
    <w:rsid w:val="0063574E"/>
    <w:rsid w:val="00637DF2"/>
    <w:rsid w:val="006408AC"/>
    <w:rsid w:val="00642F20"/>
    <w:rsid w:val="00643078"/>
    <w:rsid w:val="00643930"/>
    <w:rsid w:val="006511B6"/>
    <w:rsid w:val="00657524"/>
    <w:rsid w:val="00657FF8"/>
    <w:rsid w:val="00661AD8"/>
    <w:rsid w:val="00661D13"/>
    <w:rsid w:val="00670D99"/>
    <w:rsid w:val="00670E2B"/>
    <w:rsid w:val="00672DDD"/>
    <w:rsid w:val="006734BB"/>
    <w:rsid w:val="0067697A"/>
    <w:rsid w:val="00680210"/>
    <w:rsid w:val="006821EB"/>
    <w:rsid w:val="0068712A"/>
    <w:rsid w:val="006A44D1"/>
    <w:rsid w:val="006B0988"/>
    <w:rsid w:val="006B2286"/>
    <w:rsid w:val="006B2EF9"/>
    <w:rsid w:val="006B4BE9"/>
    <w:rsid w:val="006B56BB"/>
    <w:rsid w:val="006C085B"/>
    <w:rsid w:val="006C12E9"/>
    <w:rsid w:val="006C6553"/>
    <w:rsid w:val="006C77A8"/>
    <w:rsid w:val="006D4098"/>
    <w:rsid w:val="006D67F4"/>
    <w:rsid w:val="006D7681"/>
    <w:rsid w:val="006D7B2E"/>
    <w:rsid w:val="006E02EA"/>
    <w:rsid w:val="006E0968"/>
    <w:rsid w:val="006E2AF6"/>
    <w:rsid w:val="006F5073"/>
    <w:rsid w:val="00701275"/>
    <w:rsid w:val="00705CF5"/>
    <w:rsid w:val="00707F56"/>
    <w:rsid w:val="00713558"/>
    <w:rsid w:val="00720D08"/>
    <w:rsid w:val="007263B9"/>
    <w:rsid w:val="007334F8"/>
    <w:rsid w:val="007339CD"/>
    <w:rsid w:val="00733BE9"/>
    <w:rsid w:val="007359D8"/>
    <w:rsid w:val="007362D4"/>
    <w:rsid w:val="0073678E"/>
    <w:rsid w:val="00757BFD"/>
    <w:rsid w:val="0076672A"/>
    <w:rsid w:val="00775E45"/>
    <w:rsid w:val="00776E74"/>
    <w:rsid w:val="00777375"/>
    <w:rsid w:val="00785169"/>
    <w:rsid w:val="00792FDA"/>
    <w:rsid w:val="007940A0"/>
    <w:rsid w:val="007954AB"/>
    <w:rsid w:val="007A14C5"/>
    <w:rsid w:val="007A4A10"/>
    <w:rsid w:val="007B1750"/>
    <w:rsid w:val="007B1760"/>
    <w:rsid w:val="007C1FDC"/>
    <w:rsid w:val="007C31DD"/>
    <w:rsid w:val="007C343D"/>
    <w:rsid w:val="007C6D9C"/>
    <w:rsid w:val="007C7DDB"/>
    <w:rsid w:val="007D2CC7"/>
    <w:rsid w:val="007D553F"/>
    <w:rsid w:val="007D673D"/>
    <w:rsid w:val="007E0068"/>
    <w:rsid w:val="007E0FB8"/>
    <w:rsid w:val="007E4D09"/>
    <w:rsid w:val="007F2220"/>
    <w:rsid w:val="007F2E8B"/>
    <w:rsid w:val="007F4B3E"/>
    <w:rsid w:val="00800A01"/>
    <w:rsid w:val="00804F2A"/>
    <w:rsid w:val="00805E8B"/>
    <w:rsid w:val="008062D5"/>
    <w:rsid w:val="008127AF"/>
    <w:rsid w:val="00812B46"/>
    <w:rsid w:val="00815700"/>
    <w:rsid w:val="0082246B"/>
    <w:rsid w:val="008264EB"/>
    <w:rsid w:val="00826B8F"/>
    <w:rsid w:val="008315DF"/>
    <w:rsid w:val="00831E8A"/>
    <w:rsid w:val="00832844"/>
    <w:rsid w:val="00835C76"/>
    <w:rsid w:val="008376E2"/>
    <w:rsid w:val="00843049"/>
    <w:rsid w:val="008437CA"/>
    <w:rsid w:val="008502BC"/>
    <w:rsid w:val="0085209B"/>
    <w:rsid w:val="00856B66"/>
    <w:rsid w:val="00857118"/>
    <w:rsid w:val="008601AC"/>
    <w:rsid w:val="00861A5F"/>
    <w:rsid w:val="008644AD"/>
    <w:rsid w:val="00864AF9"/>
    <w:rsid w:val="00865735"/>
    <w:rsid w:val="00865DDB"/>
    <w:rsid w:val="00867538"/>
    <w:rsid w:val="00873D90"/>
    <w:rsid w:val="00873FC8"/>
    <w:rsid w:val="00875816"/>
    <w:rsid w:val="00884C63"/>
    <w:rsid w:val="00885908"/>
    <w:rsid w:val="008864B7"/>
    <w:rsid w:val="00890DB5"/>
    <w:rsid w:val="008919CD"/>
    <w:rsid w:val="0089661B"/>
    <w:rsid w:val="0089677E"/>
    <w:rsid w:val="008A0D51"/>
    <w:rsid w:val="008A7438"/>
    <w:rsid w:val="008B1334"/>
    <w:rsid w:val="008B25C7"/>
    <w:rsid w:val="008C0278"/>
    <w:rsid w:val="008C24E9"/>
    <w:rsid w:val="008D0533"/>
    <w:rsid w:val="008D42CB"/>
    <w:rsid w:val="008D48C9"/>
    <w:rsid w:val="008D6210"/>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226A"/>
    <w:rsid w:val="00933804"/>
    <w:rsid w:val="009344AE"/>
    <w:rsid w:val="009344DE"/>
    <w:rsid w:val="009351EB"/>
    <w:rsid w:val="00935BE2"/>
    <w:rsid w:val="00945E7F"/>
    <w:rsid w:val="009518C7"/>
    <w:rsid w:val="009557C1"/>
    <w:rsid w:val="00960D6E"/>
    <w:rsid w:val="00973994"/>
    <w:rsid w:val="00974B59"/>
    <w:rsid w:val="0098166B"/>
    <w:rsid w:val="0098216C"/>
    <w:rsid w:val="0098340B"/>
    <w:rsid w:val="00986830"/>
    <w:rsid w:val="0098693E"/>
    <w:rsid w:val="009924C3"/>
    <w:rsid w:val="00993102"/>
    <w:rsid w:val="00993C70"/>
    <w:rsid w:val="009957FD"/>
    <w:rsid w:val="009A0ADD"/>
    <w:rsid w:val="009B1570"/>
    <w:rsid w:val="009B24BA"/>
    <w:rsid w:val="009C5500"/>
    <w:rsid w:val="009C5EC9"/>
    <w:rsid w:val="009C65BD"/>
    <w:rsid w:val="009C6F10"/>
    <w:rsid w:val="009D148F"/>
    <w:rsid w:val="009D3D70"/>
    <w:rsid w:val="009D7E7B"/>
    <w:rsid w:val="009E68A1"/>
    <w:rsid w:val="009E6F7E"/>
    <w:rsid w:val="009E7A57"/>
    <w:rsid w:val="009F4803"/>
    <w:rsid w:val="009F4F6A"/>
    <w:rsid w:val="009F5046"/>
    <w:rsid w:val="009F5FFA"/>
    <w:rsid w:val="00A102D4"/>
    <w:rsid w:val="00A130BD"/>
    <w:rsid w:val="00A13EB5"/>
    <w:rsid w:val="00A16E36"/>
    <w:rsid w:val="00A24961"/>
    <w:rsid w:val="00A24B10"/>
    <w:rsid w:val="00A272D8"/>
    <w:rsid w:val="00A277EF"/>
    <w:rsid w:val="00A30E9B"/>
    <w:rsid w:val="00A344C3"/>
    <w:rsid w:val="00A4512D"/>
    <w:rsid w:val="00A47CF7"/>
    <w:rsid w:val="00A50244"/>
    <w:rsid w:val="00A627D7"/>
    <w:rsid w:val="00A656C7"/>
    <w:rsid w:val="00A701DD"/>
    <w:rsid w:val="00A705AF"/>
    <w:rsid w:val="00A719F6"/>
    <w:rsid w:val="00A72454"/>
    <w:rsid w:val="00A77696"/>
    <w:rsid w:val="00A80557"/>
    <w:rsid w:val="00A81D33"/>
    <w:rsid w:val="00A8341C"/>
    <w:rsid w:val="00A930AE"/>
    <w:rsid w:val="00A96207"/>
    <w:rsid w:val="00AA04FD"/>
    <w:rsid w:val="00AA1A95"/>
    <w:rsid w:val="00AA260F"/>
    <w:rsid w:val="00AB1EE7"/>
    <w:rsid w:val="00AB4B37"/>
    <w:rsid w:val="00AB5762"/>
    <w:rsid w:val="00AC2679"/>
    <w:rsid w:val="00AC4BE4"/>
    <w:rsid w:val="00AD05E6"/>
    <w:rsid w:val="00AD0D3F"/>
    <w:rsid w:val="00AD13FB"/>
    <w:rsid w:val="00AE1D7D"/>
    <w:rsid w:val="00AE1F79"/>
    <w:rsid w:val="00AE2A8B"/>
    <w:rsid w:val="00AE38E8"/>
    <w:rsid w:val="00AE3F64"/>
    <w:rsid w:val="00AF04FA"/>
    <w:rsid w:val="00AF7386"/>
    <w:rsid w:val="00AF7934"/>
    <w:rsid w:val="00B00B81"/>
    <w:rsid w:val="00B04580"/>
    <w:rsid w:val="00B04B09"/>
    <w:rsid w:val="00B16A51"/>
    <w:rsid w:val="00B246A5"/>
    <w:rsid w:val="00B320CD"/>
    <w:rsid w:val="00B32222"/>
    <w:rsid w:val="00B3618D"/>
    <w:rsid w:val="00B36233"/>
    <w:rsid w:val="00B42851"/>
    <w:rsid w:val="00B448A4"/>
    <w:rsid w:val="00B45350"/>
    <w:rsid w:val="00B45AC7"/>
    <w:rsid w:val="00B5372F"/>
    <w:rsid w:val="00B53987"/>
    <w:rsid w:val="00B5538D"/>
    <w:rsid w:val="00B56D5C"/>
    <w:rsid w:val="00B61129"/>
    <w:rsid w:val="00B624A3"/>
    <w:rsid w:val="00B67E7F"/>
    <w:rsid w:val="00B7653D"/>
    <w:rsid w:val="00B76DB3"/>
    <w:rsid w:val="00B77427"/>
    <w:rsid w:val="00B839B2"/>
    <w:rsid w:val="00B94252"/>
    <w:rsid w:val="00B9715A"/>
    <w:rsid w:val="00BA14BE"/>
    <w:rsid w:val="00BA25D5"/>
    <w:rsid w:val="00BA2732"/>
    <w:rsid w:val="00BA293D"/>
    <w:rsid w:val="00BA49BC"/>
    <w:rsid w:val="00BA56B7"/>
    <w:rsid w:val="00BA7A1E"/>
    <w:rsid w:val="00BB1F1B"/>
    <w:rsid w:val="00BB2F6C"/>
    <w:rsid w:val="00BB3875"/>
    <w:rsid w:val="00BB5860"/>
    <w:rsid w:val="00BB6AAD"/>
    <w:rsid w:val="00BC4678"/>
    <w:rsid w:val="00BC4A19"/>
    <w:rsid w:val="00BC4E6D"/>
    <w:rsid w:val="00BC6462"/>
    <w:rsid w:val="00BD0617"/>
    <w:rsid w:val="00BD0A9E"/>
    <w:rsid w:val="00BD2E9B"/>
    <w:rsid w:val="00BD42BF"/>
    <w:rsid w:val="00BD7FB2"/>
    <w:rsid w:val="00BE3ED5"/>
    <w:rsid w:val="00BE42C7"/>
    <w:rsid w:val="00BE79AF"/>
    <w:rsid w:val="00BF57EC"/>
    <w:rsid w:val="00C00930"/>
    <w:rsid w:val="00C02732"/>
    <w:rsid w:val="00C05B58"/>
    <w:rsid w:val="00C060AD"/>
    <w:rsid w:val="00C113BF"/>
    <w:rsid w:val="00C2176E"/>
    <w:rsid w:val="00C23430"/>
    <w:rsid w:val="00C27D67"/>
    <w:rsid w:val="00C43321"/>
    <w:rsid w:val="00C435AF"/>
    <w:rsid w:val="00C45C05"/>
    <w:rsid w:val="00C4631F"/>
    <w:rsid w:val="00C47CDE"/>
    <w:rsid w:val="00C50E16"/>
    <w:rsid w:val="00C50FE5"/>
    <w:rsid w:val="00C55258"/>
    <w:rsid w:val="00C71A8A"/>
    <w:rsid w:val="00C75FA3"/>
    <w:rsid w:val="00C8178D"/>
    <w:rsid w:val="00C82EEB"/>
    <w:rsid w:val="00C971DC"/>
    <w:rsid w:val="00CA16B7"/>
    <w:rsid w:val="00CA4DC2"/>
    <w:rsid w:val="00CA62AE"/>
    <w:rsid w:val="00CA72D0"/>
    <w:rsid w:val="00CB03B8"/>
    <w:rsid w:val="00CB5B1A"/>
    <w:rsid w:val="00CB730A"/>
    <w:rsid w:val="00CC1DAE"/>
    <w:rsid w:val="00CC220B"/>
    <w:rsid w:val="00CC5C43"/>
    <w:rsid w:val="00CC76C7"/>
    <w:rsid w:val="00CC7836"/>
    <w:rsid w:val="00CD02AE"/>
    <w:rsid w:val="00CD142C"/>
    <w:rsid w:val="00CD2A4F"/>
    <w:rsid w:val="00CD430A"/>
    <w:rsid w:val="00CD6A6C"/>
    <w:rsid w:val="00CE03CA"/>
    <w:rsid w:val="00CE22F1"/>
    <w:rsid w:val="00CE3DBC"/>
    <w:rsid w:val="00CE50F2"/>
    <w:rsid w:val="00CE6502"/>
    <w:rsid w:val="00CE6B8B"/>
    <w:rsid w:val="00CE775B"/>
    <w:rsid w:val="00CF7D3C"/>
    <w:rsid w:val="00D01F09"/>
    <w:rsid w:val="00D03527"/>
    <w:rsid w:val="00D0456B"/>
    <w:rsid w:val="00D147EB"/>
    <w:rsid w:val="00D23132"/>
    <w:rsid w:val="00D34667"/>
    <w:rsid w:val="00D401E1"/>
    <w:rsid w:val="00D408B4"/>
    <w:rsid w:val="00D44330"/>
    <w:rsid w:val="00D45430"/>
    <w:rsid w:val="00D47BD1"/>
    <w:rsid w:val="00D524C8"/>
    <w:rsid w:val="00D57F88"/>
    <w:rsid w:val="00D70E24"/>
    <w:rsid w:val="00D72B61"/>
    <w:rsid w:val="00D779E3"/>
    <w:rsid w:val="00DA3D1D"/>
    <w:rsid w:val="00DA553D"/>
    <w:rsid w:val="00DB4B64"/>
    <w:rsid w:val="00DB6286"/>
    <w:rsid w:val="00DB645F"/>
    <w:rsid w:val="00DB76E9"/>
    <w:rsid w:val="00DC0A67"/>
    <w:rsid w:val="00DC1D5E"/>
    <w:rsid w:val="00DC2498"/>
    <w:rsid w:val="00DC45B3"/>
    <w:rsid w:val="00DC5220"/>
    <w:rsid w:val="00DD2061"/>
    <w:rsid w:val="00DD7DAB"/>
    <w:rsid w:val="00DE3355"/>
    <w:rsid w:val="00DF0C60"/>
    <w:rsid w:val="00DF233E"/>
    <w:rsid w:val="00DF486F"/>
    <w:rsid w:val="00DF5B5B"/>
    <w:rsid w:val="00DF7619"/>
    <w:rsid w:val="00E042D8"/>
    <w:rsid w:val="00E07EE7"/>
    <w:rsid w:val="00E1103B"/>
    <w:rsid w:val="00E1421C"/>
    <w:rsid w:val="00E17B44"/>
    <w:rsid w:val="00E20F27"/>
    <w:rsid w:val="00E22443"/>
    <w:rsid w:val="00E25B1F"/>
    <w:rsid w:val="00E27FEA"/>
    <w:rsid w:val="00E32076"/>
    <w:rsid w:val="00E37C62"/>
    <w:rsid w:val="00E4086F"/>
    <w:rsid w:val="00E43B3C"/>
    <w:rsid w:val="00E50188"/>
    <w:rsid w:val="00E50BB3"/>
    <w:rsid w:val="00E515CB"/>
    <w:rsid w:val="00E52260"/>
    <w:rsid w:val="00E551F8"/>
    <w:rsid w:val="00E55809"/>
    <w:rsid w:val="00E6071D"/>
    <w:rsid w:val="00E6141E"/>
    <w:rsid w:val="00E639B6"/>
    <w:rsid w:val="00E6434B"/>
    <w:rsid w:val="00E6463D"/>
    <w:rsid w:val="00E6480C"/>
    <w:rsid w:val="00E66975"/>
    <w:rsid w:val="00E71492"/>
    <w:rsid w:val="00E72E9B"/>
    <w:rsid w:val="00E7433C"/>
    <w:rsid w:val="00E850C3"/>
    <w:rsid w:val="00E87DF2"/>
    <w:rsid w:val="00E9462E"/>
    <w:rsid w:val="00EA470E"/>
    <w:rsid w:val="00EA47A7"/>
    <w:rsid w:val="00EA57EB"/>
    <w:rsid w:val="00EB1292"/>
    <w:rsid w:val="00EB3226"/>
    <w:rsid w:val="00EC1610"/>
    <w:rsid w:val="00EC213A"/>
    <w:rsid w:val="00EC7744"/>
    <w:rsid w:val="00ED0DAD"/>
    <w:rsid w:val="00ED0F46"/>
    <w:rsid w:val="00ED2373"/>
    <w:rsid w:val="00ED24F9"/>
    <w:rsid w:val="00ED2E38"/>
    <w:rsid w:val="00ED6C69"/>
    <w:rsid w:val="00EE3E8A"/>
    <w:rsid w:val="00EE3F82"/>
    <w:rsid w:val="00EF38DF"/>
    <w:rsid w:val="00EF58B8"/>
    <w:rsid w:val="00EF6D51"/>
    <w:rsid w:val="00EF6ECA"/>
    <w:rsid w:val="00F024E1"/>
    <w:rsid w:val="00F03BAA"/>
    <w:rsid w:val="00F06C10"/>
    <w:rsid w:val="00F1096F"/>
    <w:rsid w:val="00F1152A"/>
    <w:rsid w:val="00F12589"/>
    <w:rsid w:val="00F12595"/>
    <w:rsid w:val="00F134D9"/>
    <w:rsid w:val="00F1403D"/>
    <w:rsid w:val="00F1463F"/>
    <w:rsid w:val="00F21302"/>
    <w:rsid w:val="00F21B25"/>
    <w:rsid w:val="00F2200A"/>
    <w:rsid w:val="00F2430D"/>
    <w:rsid w:val="00F321DE"/>
    <w:rsid w:val="00F33777"/>
    <w:rsid w:val="00F40648"/>
    <w:rsid w:val="00F47DA2"/>
    <w:rsid w:val="00F503DB"/>
    <w:rsid w:val="00F50E41"/>
    <w:rsid w:val="00F51321"/>
    <w:rsid w:val="00F519FC"/>
    <w:rsid w:val="00F60EF4"/>
    <w:rsid w:val="00F6239D"/>
    <w:rsid w:val="00F715D2"/>
    <w:rsid w:val="00F71CC3"/>
    <w:rsid w:val="00F7274F"/>
    <w:rsid w:val="00F731CB"/>
    <w:rsid w:val="00F74E84"/>
    <w:rsid w:val="00F75550"/>
    <w:rsid w:val="00F76FA8"/>
    <w:rsid w:val="00F80F09"/>
    <w:rsid w:val="00F80F2D"/>
    <w:rsid w:val="00F85AFE"/>
    <w:rsid w:val="00F85EF7"/>
    <w:rsid w:val="00F93F08"/>
    <w:rsid w:val="00F94CED"/>
    <w:rsid w:val="00FA02BB"/>
    <w:rsid w:val="00FA2CEE"/>
    <w:rsid w:val="00FA318C"/>
    <w:rsid w:val="00FB14B3"/>
    <w:rsid w:val="00FB2718"/>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customStyle="1" w:styleId="tabletext0">
    <w:name w:val="tabletext"/>
    <w:basedOn w:val="Normal"/>
    <w:rsid w:val="00CE6B8B"/>
    <w:pPr>
      <w:spacing w:before="100" w:beforeAutospacing="1" w:after="100" w:afterAutospacing="1" w:line="240" w:lineRule="auto"/>
    </w:pPr>
    <w:rPr>
      <w:rFonts w:ascii="Times New Roman" w:hAnsi="Times New Roman"/>
      <w:color w:val="auto"/>
      <w:sz w:val="24"/>
      <w:lang w:eastAsia="en-AU"/>
    </w:rPr>
  </w:style>
  <w:style w:type="paragraph" w:customStyle="1" w:styleId="tablea">
    <w:name w:val="tablea"/>
    <w:basedOn w:val="Normal"/>
    <w:rsid w:val="00CE6B8B"/>
    <w:pPr>
      <w:spacing w:before="100" w:beforeAutospacing="1" w:after="100" w:afterAutospacing="1" w:line="240" w:lineRule="auto"/>
    </w:pPr>
    <w:rPr>
      <w:rFonts w:ascii="Times New Roman" w:hAnsi="Times New Roman"/>
      <w:color w:val="auto"/>
      <w:sz w:val="24"/>
      <w:lang w:eastAsia="en-AU"/>
    </w:rPr>
  </w:style>
  <w:style w:type="paragraph" w:customStyle="1" w:styleId="tablei">
    <w:name w:val="tablei"/>
    <w:basedOn w:val="Normal"/>
    <w:rsid w:val="00CE6B8B"/>
    <w:pPr>
      <w:spacing w:before="100" w:beforeAutospacing="1" w:after="100" w:afterAutospacing="1" w:line="240" w:lineRule="auto"/>
    </w:pPr>
    <w:rPr>
      <w:rFonts w:ascii="Times New Roman" w:hAnsi="Times New Roman"/>
      <w:color w:val="auto"/>
      <w:sz w:val="24"/>
      <w:lang w:eastAsia="en-AU"/>
    </w:rPr>
  </w:style>
  <w:style w:type="paragraph" w:customStyle="1" w:styleId="tableaa">
    <w:name w:val="tableaa"/>
    <w:basedOn w:val="Normal"/>
    <w:rsid w:val="00CE6B8B"/>
    <w:pPr>
      <w:spacing w:before="100" w:beforeAutospacing="1" w:after="100"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7329">
      <w:bodyDiv w:val="1"/>
      <w:marLeft w:val="0"/>
      <w:marRight w:val="0"/>
      <w:marTop w:val="0"/>
      <w:marBottom w:val="0"/>
      <w:divBdr>
        <w:top w:val="none" w:sz="0" w:space="0" w:color="auto"/>
        <w:left w:val="none" w:sz="0" w:space="0" w:color="auto"/>
        <w:bottom w:val="none" w:sz="0" w:space="0" w:color="auto"/>
        <w:right w:val="none" w:sz="0" w:space="0" w:color="auto"/>
      </w:divBdr>
    </w:div>
    <w:div w:id="145821525">
      <w:bodyDiv w:val="1"/>
      <w:marLeft w:val="0"/>
      <w:marRight w:val="0"/>
      <w:marTop w:val="0"/>
      <w:marBottom w:val="0"/>
      <w:divBdr>
        <w:top w:val="none" w:sz="0" w:space="0" w:color="auto"/>
        <w:left w:val="none" w:sz="0" w:space="0" w:color="auto"/>
        <w:bottom w:val="none" w:sz="0" w:space="0" w:color="auto"/>
        <w:right w:val="none" w:sz="0" w:space="0" w:color="auto"/>
      </w:divBdr>
    </w:div>
    <w:div w:id="168250649">
      <w:bodyDiv w:val="1"/>
      <w:marLeft w:val="0"/>
      <w:marRight w:val="0"/>
      <w:marTop w:val="0"/>
      <w:marBottom w:val="0"/>
      <w:divBdr>
        <w:top w:val="none" w:sz="0" w:space="0" w:color="auto"/>
        <w:left w:val="none" w:sz="0" w:space="0" w:color="auto"/>
        <w:bottom w:val="none" w:sz="0" w:space="0" w:color="auto"/>
        <w:right w:val="none" w:sz="0" w:space="0" w:color="auto"/>
      </w:divBdr>
    </w:div>
    <w:div w:id="228228588">
      <w:bodyDiv w:val="1"/>
      <w:marLeft w:val="0"/>
      <w:marRight w:val="0"/>
      <w:marTop w:val="0"/>
      <w:marBottom w:val="0"/>
      <w:divBdr>
        <w:top w:val="none" w:sz="0" w:space="0" w:color="auto"/>
        <w:left w:val="none" w:sz="0" w:space="0" w:color="auto"/>
        <w:bottom w:val="none" w:sz="0" w:space="0" w:color="auto"/>
        <w:right w:val="none" w:sz="0" w:space="0" w:color="auto"/>
      </w:divBdr>
    </w:div>
    <w:div w:id="25725280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4382153">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9226668">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0665751">
      <w:bodyDiv w:val="1"/>
      <w:marLeft w:val="0"/>
      <w:marRight w:val="0"/>
      <w:marTop w:val="0"/>
      <w:marBottom w:val="0"/>
      <w:divBdr>
        <w:top w:val="none" w:sz="0" w:space="0" w:color="auto"/>
        <w:left w:val="none" w:sz="0" w:space="0" w:color="auto"/>
        <w:bottom w:val="none" w:sz="0" w:space="0" w:color="auto"/>
        <w:right w:val="none" w:sz="0" w:space="0" w:color="auto"/>
      </w:divBdr>
    </w:div>
    <w:div w:id="686642408">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40918258">
      <w:bodyDiv w:val="1"/>
      <w:marLeft w:val="0"/>
      <w:marRight w:val="0"/>
      <w:marTop w:val="0"/>
      <w:marBottom w:val="0"/>
      <w:divBdr>
        <w:top w:val="none" w:sz="0" w:space="0" w:color="auto"/>
        <w:left w:val="none" w:sz="0" w:space="0" w:color="auto"/>
        <w:bottom w:val="none" w:sz="0" w:space="0" w:color="auto"/>
        <w:right w:val="none" w:sz="0" w:space="0" w:color="auto"/>
      </w:divBdr>
    </w:div>
    <w:div w:id="958872062">
      <w:bodyDiv w:val="1"/>
      <w:marLeft w:val="0"/>
      <w:marRight w:val="0"/>
      <w:marTop w:val="0"/>
      <w:marBottom w:val="0"/>
      <w:divBdr>
        <w:top w:val="none" w:sz="0" w:space="0" w:color="auto"/>
        <w:left w:val="none" w:sz="0" w:space="0" w:color="auto"/>
        <w:bottom w:val="none" w:sz="0" w:space="0" w:color="auto"/>
        <w:right w:val="none" w:sz="0" w:space="0" w:color="auto"/>
      </w:divBdr>
    </w:div>
    <w:div w:id="101734705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027571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84007994">
      <w:bodyDiv w:val="1"/>
      <w:marLeft w:val="0"/>
      <w:marRight w:val="0"/>
      <w:marTop w:val="0"/>
      <w:marBottom w:val="0"/>
      <w:divBdr>
        <w:top w:val="none" w:sz="0" w:space="0" w:color="auto"/>
        <w:left w:val="none" w:sz="0" w:space="0" w:color="auto"/>
        <w:bottom w:val="none" w:sz="0" w:space="0" w:color="auto"/>
        <w:right w:val="none" w:sz="0" w:space="0" w:color="auto"/>
      </w:divBdr>
    </w:div>
    <w:div w:id="1484849819">
      <w:bodyDiv w:val="1"/>
      <w:marLeft w:val="0"/>
      <w:marRight w:val="0"/>
      <w:marTop w:val="0"/>
      <w:marBottom w:val="0"/>
      <w:divBdr>
        <w:top w:val="none" w:sz="0" w:space="0" w:color="auto"/>
        <w:left w:val="none" w:sz="0" w:space="0" w:color="auto"/>
        <w:bottom w:val="none" w:sz="0" w:space="0" w:color="auto"/>
        <w:right w:val="none" w:sz="0" w:space="0" w:color="auto"/>
      </w:divBdr>
    </w:div>
    <w:div w:id="1557547052">
      <w:bodyDiv w:val="1"/>
      <w:marLeft w:val="0"/>
      <w:marRight w:val="0"/>
      <w:marTop w:val="0"/>
      <w:marBottom w:val="0"/>
      <w:divBdr>
        <w:top w:val="none" w:sz="0" w:space="0" w:color="auto"/>
        <w:left w:val="none" w:sz="0" w:space="0" w:color="auto"/>
        <w:bottom w:val="none" w:sz="0" w:space="0" w:color="auto"/>
        <w:right w:val="none" w:sz="0" w:space="0" w:color="auto"/>
      </w:divBdr>
    </w:div>
    <w:div w:id="1561672336">
      <w:bodyDiv w:val="1"/>
      <w:marLeft w:val="0"/>
      <w:marRight w:val="0"/>
      <w:marTop w:val="0"/>
      <w:marBottom w:val="0"/>
      <w:divBdr>
        <w:top w:val="none" w:sz="0" w:space="0" w:color="auto"/>
        <w:left w:val="none" w:sz="0" w:space="0" w:color="auto"/>
        <w:bottom w:val="none" w:sz="0" w:space="0" w:color="auto"/>
        <w:right w:val="none" w:sz="0" w:space="0" w:color="auto"/>
      </w:divBdr>
    </w:div>
    <w:div w:id="1628975457">
      <w:bodyDiv w:val="1"/>
      <w:marLeft w:val="0"/>
      <w:marRight w:val="0"/>
      <w:marTop w:val="0"/>
      <w:marBottom w:val="0"/>
      <w:divBdr>
        <w:top w:val="none" w:sz="0" w:space="0" w:color="auto"/>
        <w:left w:val="none" w:sz="0" w:space="0" w:color="auto"/>
        <w:bottom w:val="none" w:sz="0" w:space="0" w:color="auto"/>
        <w:right w:val="none" w:sz="0" w:space="0" w:color="auto"/>
      </w:divBdr>
    </w:div>
    <w:div w:id="1746220573">
      <w:bodyDiv w:val="1"/>
      <w:marLeft w:val="0"/>
      <w:marRight w:val="0"/>
      <w:marTop w:val="0"/>
      <w:marBottom w:val="0"/>
      <w:divBdr>
        <w:top w:val="none" w:sz="0" w:space="0" w:color="auto"/>
        <w:left w:val="none" w:sz="0" w:space="0" w:color="auto"/>
        <w:bottom w:val="none" w:sz="0" w:space="0" w:color="auto"/>
        <w:right w:val="none" w:sz="0" w:space="0" w:color="auto"/>
      </w:divBdr>
    </w:div>
    <w:div w:id="1787120355">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25582086">
      <w:bodyDiv w:val="1"/>
      <w:marLeft w:val="0"/>
      <w:marRight w:val="0"/>
      <w:marTop w:val="0"/>
      <w:marBottom w:val="0"/>
      <w:divBdr>
        <w:top w:val="none" w:sz="0" w:space="0" w:color="auto"/>
        <w:left w:val="none" w:sz="0" w:space="0" w:color="auto"/>
        <w:bottom w:val="none" w:sz="0" w:space="0" w:color="auto"/>
        <w:right w:val="none" w:sz="0" w:space="0" w:color="auto"/>
      </w:divBdr>
    </w:div>
    <w:div w:id="1845394422">
      <w:bodyDiv w:val="1"/>
      <w:marLeft w:val="0"/>
      <w:marRight w:val="0"/>
      <w:marTop w:val="0"/>
      <w:marBottom w:val="0"/>
      <w:divBdr>
        <w:top w:val="none" w:sz="0" w:space="0" w:color="auto"/>
        <w:left w:val="none" w:sz="0" w:space="0" w:color="auto"/>
        <w:bottom w:val="none" w:sz="0" w:space="0" w:color="auto"/>
        <w:right w:val="none" w:sz="0" w:space="0" w:color="auto"/>
      </w:divBdr>
    </w:div>
    <w:div w:id="1911769105">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 TargetMode="External"/><Relationship Id="rId13" Type="http://schemas.openxmlformats.org/officeDocument/2006/relationships/hyperlink" Target="https://www.legislation.gov.au" TargetMode="External"/><Relationship Id="rId18" Type="http://schemas.openxmlformats.org/officeDocument/2006/relationships/hyperlink" Target="http://www9.health.gov.au/mbs/fullDisplay.cfm?type=note&amp;qt=NoteID&amp;q=AN.40.1" TargetMode="External"/><Relationship Id="rId26" Type="http://schemas.openxmlformats.org/officeDocument/2006/relationships/hyperlink" Target="https://www.mbsonline.gov.au/internet/mbsonline/publishing.nsf/Content/Factsheet-EMSN-1Jan2024" TargetMode="External"/><Relationship Id="rId3" Type="http://schemas.openxmlformats.org/officeDocument/2006/relationships/styles" Target="styles.xml"/><Relationship Id="rId21" Type="http://schemas.openxmlformats.org/officeDocument/2006/relationships/hyperlink" Target="http://www9.health.gov.au/mbs/fullDisplay.cfm?type=note&amp;qt=NoteID&amp;q=AN.40.1" TargetMode="Externa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hyperlink" Target="http://www9.health.gov.au/mbs/fullDisplay.cfm?type=note&amp;qt=NoteID&amp;q=AN.0.26" TargetMode="External"/><Relationship Id="rId25" Type="http://schemas.openxmlformats.org/officeDocument/2006/relationships/hyperlink" Target="http://www9.health.gov.au/mbs/fullDisplay.cfm?type=note&amp;qt=NoteID&amp;q=AN.0.26" TargetMode="External"/><Relationship Id="rId2" Type="http://schemas.openxmlformats.org/officeDocument/2006/relationships/numbering" Target="numbering.xml"/><Relationship Id="rId16" Type="http://schemas.openxmlformats.org/officeDocument/2006/relationships/hyperlink" Target="https://www.mbsonline.gov.au/internet/mbsonline/publishing.nsf/Content/downloads" TargetMode="External"/><Relationship Id="rId20" Type="http://schemas.openxmlformats.org/officeDocument/2006/relationships/hyperlink" Target="http://www9.health.gov.au/mbs/fullDisplay.cfm?type=note&amp;qt=NoteID&amp;q=AN.0.2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24" Type="http://schemas.openxmlformats.org/officeDocument/2006/relationships/hyperlink" Target="https://www.mbsonline.gov.au/internet/mbsonline/publishing.nsf/Content/Factsheet-EMSN-1Jan2024"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23" Type="http://schemas.openxmlformats.org/officeDocument/2006/relationships/hyperlink" Target="http://www9.health.gov.au/mbs/fullDisplay.cfm?type=note&amp;qt=NoteID&amp;q=AN.0.26" TargetMode="External"/><Relationship Id="rId28" Type="http://schemas.openxmlformats.org/officeDocument/2006/relationships/header" Target="header1.xml"/><Relationship Id="rId10" Type="http://schemas.openxmlformats.org/officeDocument/2006/relationships/hyperlink" Target="mailto:askMBS@health.gov.au" TargetMode="External"/><Relationship Id="rId19" Type="http://schemas.openxmlformats.org/officeDocument/2006/relationships/hyperlink" Target="https://www.mbsonline.gov.au/internet/mbsonline/publishing.nsf/Content/Factsheet-EMSN-1Jan2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9.health.gov.au/mbs/subscribe.cfm" TargetMode="External"/><Relationship Id="rId14" Type="http://schemas.openxmlformats.org/officeDocument/2006/relationships/hyperlink" Target="mailto:PHI@health.gov.au" TargetMode="External"/><Relationship Id="rId22" Type="http://schemas.openxmlformats.org/officeDocument/2006/relationships/hyperlink" Target="https://www.mbsonline.gov.au/internet/mbsonline/publishing.nsf/Content/Factsheet-EMSN-1Jan2024"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2025-02-25T01:34:00Z</dcterms:created>
  <dcterms:modified xsi:type="dcterms:W3CDTF">2025-03-04T06:28:00Z</dcterms:modified>
</cp:coreProperties>
</file>